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0"/>
        <w:jc w:val="center"/>
        <w:rPr>
          <w:caps w:val="0"/>
          <w:color w:val="000000" w:themeColor="text1"/>
          <w:lang w:eastAsia="zh-CN"/>
          <w14:textFill>
            <w14:solidFill>
              <w14:schemeClr w14:val="tx1"/>
            </w14:solidFill>
          </w14:textFill>
        </w:rPr>
      </w:pPr>
      <w:r>
        <w:rPr>
          <w:caps w:val="0"/>
          <w:color w:val="000000" w:themeColor="text1"/>
          <w14:textFill>
            <w14:solidFill>
              <w14:schemeClr w14:val="tx1"/>
            </w14:solidFill>
          </w14:textFill>
        </w:rPr>
        <w:t>Instructions to Prepare a Full Paper for the XV</w:t>
      </w:r>
      <w:r>
        <w:rPr>
          <w:rFonts w:hint="eastAsia"/>
          <w:caps w:val="0"/>
          <w:color w:val="000000" w:themeColor="text1"/>
          <w:lang w:eastAsia="zh-CN"/>
          <w14:textFill>
            <w14:solidFill>
              <w14:schemeClr w14:val="tx1"/>
            </w14:solidFill>
          </w14:textFill>
        </w:rPr>
        <w:t>I</w:t>
      </w:r>
      <w:r>
        <w:rPr>
          <w:caps w:val="0"/>
          <w:color w:val="000000" w:themeColor="text1"/>
          <w14:textFill>
            <w14:solidFill>
              <w14:schemeClr w14:val="tx1"/>
            </w14:solidFill>
          </w14:textFill>
        </w:rPr>
        <w:t xml:space="preserve"> </w:t>
      </w:r>
      <w:r>
        <w:rPr>
          <w:caps w:val="0"/>
          <w:color w:val="000000" w:themeColor="text1"/>
          <w:lang w:val="en-GB"/>
          <w14:textFill>
            <w14:solidFill>
              <w14:schemeClr w14:val="tx1"/>
            </w14:solidFill>
          </w14:textFill>
        </w:rPr>
        <w:t>International Conference on Durability of Building Materials and Components – DBMC 202</w:t>
      </w:r>
      <w:r>
        <w:rPr>
          <w:rFonts w:hint="eastAsia"/>
          <w:caps w:val="0"/>
          <w:color w:val="000000" w:themeColor="text1"/>
          <w:lang w:val="en-GB" w:eastAsia="zh-CN"/>
          <w14:textFill>
            <w14:solidFill>
              <w14:schemeClr w14:val="tx1"/>
            </w14:solidFill>
          </w14:textFill>
        </w:rPr>
        <w:t>3</w:t>
      </w:r>
    </w:p>
    <w:p>
      <w:pPr>
        <w:pStyle w:val="15"/>
        <w:spacing w:before="240"/>
        <w:jc w:val="center"/>
        <w:rPr>
          <w:caps w:val="0"/>
          <w:color w:val="000000" w:themeColor="text1"/>
          <w:sz w:val="24"/>
          <w14:textFill>
            <w14:solidFill>
              <w14:schemeClr w14:val="tx1"/>
            </w14:solidFill>
          </w14:textFill>
        </w:rPr>
      </w:pPr>
      <w:r>
        <w:rPr>
          <w:caps w:val="0"/>
          <w:color w:val="000000" w:themeColor="text1"/>
          <w:sz w:val="24"/>
          <w14:textFill>
            <w14:solidFill>
              <w14:schemeClr w14:val="tx1"/>
            </w14:solidFill>
          </w14:textFill>
        </w:rPr>
        <w:t>First A. Coauthor</w:t>
      </w:r>
      <w:r>
        <w:rPr>
          <w:b w:val="0"/>
          <w:caps w:val="0"/>
          <w:color w:val="000000" w:themeColor="text1"/>
          <w:sz w:val="24"/>
          <w:vertAlign w:val="superscript"/>
          <w14:textFill>
            <w14:solidFill>
              <w14:schemeClr w14:val="tx1"/>
            </w14:solidFill>
          </w14:textFill>
        </w:rPr>
        <w:t>1</w:t>
      </w:r>
      <w:r>
        <w:rPr>
          <w:caps w:val="0"/>
          <w:color w:val="000000" w:themeColor="text1"/>
          <w:sz w:val="24"/>
          <w14:textFill>
            <w14:solidFill>
              <w14:schemeClr w14:val="tx1"/>
            </w14:solidFill>
          </w14:textFill>
        </w:rPr>
        <w:t>, Second B. Coauthor</w:t>
      </w:r>
      <w:r>
        <w:rPr>
          <w:b w:val="0"/>
          <w:caps w:val="0"/>
          <w:color w:val="000000" w:themeColor="text1"/>
          <w:sz w:val="24"/>
          <w:vertAlign w:val="superscript"/>
          <w14:textFill>
            <w14:solidFill>
              <w14:schemeClr w14:val="tx1"/>
            </w14:solidFill>
          </w14:textFill>
        </w:rPr>
        <w:t>2</w:t>
      </w:r>
      <w:r>
        <w:rPr>
          <w:caps w:val="0"/>
          <w:color w:val="000000" w:themeColor="text1"/>
          <w:sz w:val="24"/>
          <w14:textFill>
            <w14:solidFill>
              <w14:schemeClr w14:val="tx1"/>
            </w14:solidFill>
          </w14:textFill>
        </w:rPr>
        <w:t xml:space="preserve"> and Third C. Coauthor</w:t>
      </w:r>
      <w:r>
        <w:rPr>
          <w:b w:val="0"/>
          <w:caps w:val="0"/>
          <w:color w:val="000000" w:themeColor="text1"/>
          <w:sz w:val="24"/>
          <w:vertAlign w:val="superscript"/>
          <w14:textFill>
            <w14:solidFill>
              <w14:schemeClr w14:val="tx1"/>
            </w14:solidFill>
          </w14:textFill>
        </w:rPr>
        <w:t>1</w:t>
      </w:r>
    </w:p>
    <w:p>
      <w:pPr>
        <w:pStyle w:val="16"/>
        <w:spacing w:after="120"/>
        <w:rPr>
          <w:color w:val="000000" w:themeColor="text1"/>
          <w:lang w:eastAsia="zh-CN"/>
          <w14:textFill>
            <w14:solidFill>
              <w14:schemeClr w14:val="tx1"/>
            </w14:solidFill>
          </w14:textFill>
        </w:rPr>
      </w:pPr>
      <w:r>
        <w:rPr>
          <w:color w:val="000000" w:themeColor="text1"/>
          <w:position w:val="11"/>
          <w:sz w:val="16"/>
          <w:szCs w:val="16"/>
          <w14:textFill>
            <w14:solidFill>
              <w14:schemeClr w14:val="tx1"/>
            </w14:solidFill>
          </w14:textFill>
        </w:rPr>
        <w:t>1</w:t>
      </w:r>
      <w:r>
        <w:rPr>
          <w:color w:val="000000" w:themeColor="text1"/>
          <w14:textFill>
            <w14:solidFill>
              <w14:schemeClr w14:val="tx1"/>
            </w14:solidFill>
          </w14:textFill>
        </w:rPr>
        <w:t xml:space="preserve">Department of Civil Engineering, Tsinghua University, Beijing 100084, PR China, </w:t>
      </w:r>
      <w:r>
        <w:fldChar w:fldCharType="begin"/>
      </w:r>
      <w:r>
        <w:instrText xml:space="preserve"> HYPERLINK "mailto:likefei@tsinghua.edu.cn" </w:instrText>
      </w:r>
      <w:r>
        <w:fldChar w:fldCharType="separate"/>
      </w:r>
      <w:r>
        <w:rPr>
          <w:rStyle w:val="10"/>
          <w:rFonts w:hint="eastAsia"/>
          <w:lang w:eastAsia="zh-CN"/>
        </w:rPr>
        <w:t>likefei@tsinghua.edu.cn</w:t>
      </w:r>
      <w:r>
        <w:rPr>
          <w:rStyle w:val="10"/>
          <w:rFonts w:hint="eastAsia"/>
          <w:lang w:eastAsia="zh-CN"/>
        </w:rPr>
        <w:fldChar w:fldCharType="end"/>
      </w:r>
      <w:r>
        <w:rPr>
          <w:color w:val="000000" w:themeColor="text1"/>
          <w:lang w:eastAsia="zh-CN"/>
          <w14:textFill>
            <w14:solidFill>
              <w14:schemeClr w14:val="tx1"/>
            </w14:solidFill>
          </w14:textFill>
        </w:rPr>
        <w:t xml:space="preserve"> (First A. Coauthor), </w:t>
      </w:r>
      <w:r>
        <w:fldChar w:fldCharType="begin"/>
      </w:r>
      <w:r>
        <w:instrText xml:space="preserve"> HYPERLINK "mailto:junjiewang@tsinghua.edu.cn" </w:instrText>
      </w:r>
      <w:r>
        <w:fldChar w:fldCharType="separate"/>
      </w:r>
      <w:r>
        <w:rPr>
          <w:rStyle w:val="10"/>
          <w:lang w:eastAsia="zh-CN"/>
        </w:rPr>
        <w:t>junjiewang@tsinghua.edu.cn</w:t>
      </w:r>
      <w:r>
        <w:rPr>
          <w:rStyle w:val="10"/>
          <w:lang w:eastAsia="zh-CN"/>
        </w:rPr>
        <w:fldChar w:fldCharType="end"/>
      </w:r>
      <w:r>
        <w:rPr>
          <w:color w:val="000000" w:themeColor="text1"/>
          <w:lang w:eastAsia="zh-CN"/>
          <w14:textFill>
            <w14:solidFill>
              <w14:schemeClr w14:val="tx1"/>
            </w14:solidFill>
          </w14:textFill>
        </w:rPr>
        <w:t xml:space="preserve"> (Third C. Coauthor)</w:t>
      </w:r>
    </w:p>
    <w:p>
      <w:pPr>
        <w:pStyle w:val="16"/>
        <w:spacing w:after="120"/>
        <w:rPr>
          <w:color w:val="000000" w:themeColor="text1"/>
          <w:lang w:eastAsia="zh-CN"/>
          <w14:textFill>
            <w14:solidFill>
              <w14:schemeClr w14:val="tx1"/>
            </w14:solidFill>
          </w14:textFill>
        </w:rPr>
      </w:pPr>
      <w:r>
        <w:rPr>
          <w:color w:val="000000" w:themeColor="text1"/>
          <w:vertAlign w:val="superscript"/>
          <w14:textFill>
            <w14:solidFill>
              <w14:schemeClr w14:val="tx1"/>
            </w14:solidFill>
          </w14:textFill>
        </w:rPr>
        <w:t>2</w:t>
      </w:r>
      <w:r>
        <w:t>Navier, Ecole des Ponts, Univ. Gustave Eiffel, CNRS,</w:t>
      </w:r>
      <w:r>
        <w:rPr>
          <w:rFonts w:hint="eastAsia"/>
          <w:lang w:eastAsia="zh-CN"/>
        </w:rPr>
        <w:t xml:space="preserve"> </w:t>
      </w:r>
      <w:r>
        <w:t>Marne-la-Vallée, France</w:t>
      </w:r>
      <w:r>
        <w:rPr>
          <w:rFonts w:hint="eastAsia"/>
          <w:lang w:eastAsia="zh-CN"/>
        </w:rPr>
        <w:t xml:space="preserve">, </w:t>
      </w:r>
      <w:r>
        <w:fldChar w:fldCharType="begin"/>
      </w:r>
      <w:r>
        <w:instrText xml:space="preserve"> HYPERLINK "mailto:patrick.dangla@ifsttar.fr" </w:instrText>
      </w:r>
      <w:r>
        <w:fldChar w:fldCharType="separate"/>
      </w:r>
      <w:r>
        <w:rPr>
          <w:rStyle w:val="10"/>
          <w:lang w:eastAsia="zh-CN"/>
        </w:rPr>
        <w:t>patrick.dangla@ifsttar.fr</w:t>
      </w:r>
      <w:r>
        <w:rPr>
          <w:rStyle w:val="10"/>
          <w:lang w:eastAsia="zh-CN"/>
        </w:rPr>
        <w:fldChar w:fldCharType="end"/>
      </w:r>
      <w:r>
        <w:rPr>
          <w:lang w:eastAsia="zh-CN"/>
        </w:rPr>
        <w:t xml:space="preserve"> (Corresponding author)</w:t>
      </w:r>
    </w:p>
    <w:p>
      <w:pPr>
        <w:pStyle w:val="13"/>
        <w:spacing w:before="240"/>
        <w:ind w:firstLine="0"/>
        <w:rPr>
          <w:i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Abstract.</w:t>
      </w:r>
      <w:r>
        <w:rPr>
          <w:color w:val="000000" w:themeColor="text1"/>
          <w:sz w:val="22"/>
          <w:szCs w:val="22"/>
          <w14:textFill>
            <w14:solidFill>
              <w14:schemeClr w14:val="tx1"/>
            </w14:solidFill>
          </w14:textFill>
        </w:rPr>
        <w:t xml:space="preserve"> </w:t>
      </w:r>
      <w:r>
        <w:rPr>
          <w:i/>
          <w:color w:val="000000" w:themeColor="text1"/>
          <w:sz w:val="22"/>
          <w:szCs w:val="22"/>
          <w14:textFill>
            <w14:solidFill>
              <w14:schemeClr w14:val="tx1"/>
            </w14:solidFill>
          </w14:textFill>
        </w:rPr>
        <w:t>This document provides information and instructions for preparing a Full Paper to be included in the eBook of Proceedings of DBMC 202</w:t>
      </w:r>
      <w:r>
        <w:rPr>
          <w:rFonts w:hint="eastAsia"/>
          <w:i/>
          <w:color w:val="000000" w:themeColor="text1"/>
          <w:sz w:val="22"/>
          <w:szCs w:val="22"/>
          <w:lang w:eastAsia="zh-CN"/>
          <w14:textFill>
            <w14:solidFill>
              <w14:schemeClr w14:val="tx1"/>
            </w14:solidFill>
          </w14:textFill>
        </w:rPr>
        <w:t>3</w:t>
      </w:r>
      <w:r>
        <w:rPr>
          <w:i/>
          <w:color w:val="000000" w:themeColor="text1"/>
          <w:sz w:val="22"/>
          <w:szCs w:val="22"/>
          <w14:textFill>
            <w14:solidFill>
              <w14:schemeClr w14:val="tx1"/>
            </w14:solidFill>
          </w14:textFill>
        </w:rPr>
        <w:t xml:space="preserve"> Conference, as well as the 2-page extended abstract to be included in the Book of Abstracts.</w:t>
      </w:r>
      <w:r>
        <w:rPr>
          <w:color w:val="000000" w:themeColor="text1"/>
          <w:sz w:val="22"/>
          <w:szCs w:val="22"/>
          <w14:textFill>
            <w14:solidFill>
              <w14:schemeClr w14:val="tx1"/>
            </w14:solidFill>
          </w14:textFill>
        </w:rPr>
        <w:t xml:space="preserve"> </w:t>
      </w:r>
    </w:p>
    <w:p>
      <w:pPr>
        <w:pStyle w:val="13"/>
        <w:spacing w:before="240"/>
        <w:ind w:firstLine="0"/>
        <w:jc w:val="left"/>
        <w:rPr>
          <w:i/>
          <w:color w:val="000000" w:themeColor="text1"/>
          <w:sz w:val="22"/>
          <w:szCs w:val="22"/>
          <w:lang w:val="es-ES" w:eastAsia="zh-CN"/>
          <w14:textFill>
            <w14:solidFill>
              <w14:schemeClr w14:val="tx1"/>
            </w14:solidFill>
          </w14:textFill>
        </w:rPr>
      </w:pPr>
      <w:r>
        <w:rPr>
          <w:b/>
          <w:bCs/>
          <w:color w:val="000000" w:themeColor="text1"/>
          <w:sz w:val="22"/>
          <w:szCs w:val="22"/>
          <w14:textFill>
            <w14:solidFill>
              <w14:schemeClr w14:val="tx1"/>
            </w14:solidFill>
          </w14:textFill>
        </w:rPr>
        <w:t>Keywords:</w:t>
      </w:r>
      <w:r>
        <w:rPr>
          <w:color w:val="000000" w:themeColor="text1"/>
          <w:sz w:val="22"/>
          <w:szCs w:val="22"/>
          <w14:textFill>
            <w14:solidFill>
              <w14:schemeClr w14:val="tx1"/>
            </w14:solidFill>
          </w14:textFill>
        </w:rPr>
        <w:t xml:space="preserve"> </w:t>
      </w:r>
      <w:r>
        <w:rPr>
          <w:i/>
          <w:color w:val="000000" w:themeColor="text1"/>
          <w:sz w:val="22"/>
          <w:szCs w:val="22"/>
          <w:lang w:val="es-ES"/>
          <w14:textFill>
            <w14:solidFill>
              <w14:schemeClr w14:val="tx1"/>
            </w14:solidFill>
          </w14:textFill>
        </w:rPr>
        <w:t>Innovative Materials</w:t>
      </w:r>
      <w:r>
        <w:rPr>
          <w:rFonts w:hint="eastAsia"/>
          <w:i/>
          <w:color w:val="000000" w:themeColor="text1"/>
          <w:sz w:val="22"/>
          <w:szCs w:val="22"/>
          <w:lang w:eastAsia="zh-CN"/>
          <w14:textFill>
            <w14:solidFill>
              <w14:schemeClr w14:val="tx1"/>
            </w14:solidFill>
          </w14:textFill>
        </w:rPr>
        <w:t>;</w:t>
      </w:r>
      <w:r>
        <w:rPr>
          <w:i/>
          <w:color w:val="000000" w:themeColor="text1"/>
          <w:sz w:val="22"/>
          <w:szCs w:val="22"/>
          <w14:textFill>
            <w14:solidFill>
              <w14:schemeClr w14:val="tx1"/>
            </w14:solidFill>
          </w14:textFill>
        </w:rPr>
        <w:t xml:space="preserve"> Durability</w:t>
      </w:r>
      <w:r>
        <w:rPr>
          <w:rFonts w:hint="eastAsia"/>
          <w:i/>
          <w:color w:val="000000" w:themeColor="text1"/>
          <w:sz w:val="22"/>
          <w:szCs w:val="22"/>
          <w:lang w:eastAsia="zh-CN"/>
          <w14:textFill>
            <w14:solidFill>
              <w14:schemeClr w14:val="tx1"/>
            </w14:solidFill>
          </w14:textFill>
        </w:rPr>
        <w:t>;</w:t>
      </w:r>
      <w:r>
        <w:rPr>
          <w:i/>
          <w:color w:val="000000" w:themeColor="text1"/>
          <w:sz w:val="22"/>
          <w:szCs w:val="22"/>
          <w14:textFill>
            <w14:solidFill>
              <w14:schemeClr w14:val="tx1"/>
            </w14:solidFill>
          </w14:textFill>
        </w:rPr>
        <w:t xml:space="preserve"> </w:t>
      </w:r>
      <w:r>
        <w:rPr>
          <w:i/>
          <w:color w:val="000000" w:themeColor="text1"/>
          <w:sz w:val="22"/>
          <w:szCs w:val="22"/>
          <w:lang w:val="es-ES"/>
          <w14:textFill>
            <w14:solidFill>
              <w14:schemeClr w14:val="tx1"/>
            </w14:solidFill>
          </w14:textFill>
        </w:rPr>
        <w:t>Recycling</w:t>
      </w:r>
      <w:r>
        <w:rPr>
          <w:rFonts w:hint="eastAsia"/>
          <w:i/>
          <w:color w:val="000000" w:themeColor="text1"/>
          <w:sz w:val="22"/>
          <w:szCs w:val="22"/>
          <w:lang w:val="es-ES" w:eastAsia="zh-CN"/>
          <w14:textFill>
            <w14:solidFill>
              <w14:schemeClr w14:val="tx1"/>
            </w14:solidFill>
          </w14:textFill>
        </w:rPr>
        <w:t xml:space="preserve"> and</w:t>
      </w:r>
      <w:r>
        <w:rPr>
          <w:i/>
          <w:color w:val="000000" w:themeColor="text1"/>
          <w:sz w:val="22"/>
          <w:szCs w:val="22"/>
          <w:lang w:val="es-ES"/>
          <w14:textFill>
            <w14:solidFill>
              <w14:schemeClr w14:val="tx1"/>
            </w14:solidFill>
          </w14:textFill>
        </w:rPr>
        <w:t xml:space="preserve"> waste management</w:t>
      </w:r>
      <w:r>
        <w:rPr>
          <w:rFonts w:hint="eastAsia"/>
          <w:i/>
          <w:color w:val="000000" w:themeColor="text1"/>
          <w:sz w:val="22"/>
          <w:szCs w:val="22"/>
          <w:lang w:eastAsia="zh-CN"/>
          <w14:textFill>
            <w14:solidFill>
              <w14:schemeClr w14:val="tx1"/>
            </w14:solidFill>
          </w14:textFill>
        </w:rPr>
        <w:t>;</w:t>
      </w:r>
      <w:r>
        <w:rPr>
          <w:i/>
          <w:color w:val="000000" w:themeColor="text1"/>
          <w:sz w:val="22"/>
          <w:szCs w:val="22"/>
          <w14:textFill>
            <w14:solidFill>
              <w14:schemeClr w14:val="tx1"/>
            </w14:solidFill>
          </w14:textFill>
        </w:rPr>
        <w:t xml:space="preserve"> </w:t>
      </w:r>
      <w:r>
        <w:rPr>
          <w:i/>
          <w:color w:val="000000" w:themeColor="text1"/>
          <w:sz w:val="22"/>
          <w:szCs w:val="22"/>
          <w:lang w:val="es-ES"/>
          <w14:textFill>
            <w14:solidFill>
              <w14:schemeClr w14:val="tx1"/>
            </w14:solidFill>
          </w14:textFill>
        </w:rPr>
        <w:t>Intelligent construction</w:t>
      </w:r>
      <w:r>
        <w:rPr>
          <w:rFonts w:hint="eastAsia"/>
          <w:i/>
          <w:color w:val="000000" w:themeColor="text1"/>
          <w:sz w:val="22"/>
          <w:szCs w:val="22"/>
          <w:lang w:eastAsia="zh-CN"/>
          <w14:textFill>
            <w14:solidFill>
              <w14:schemeClr w14:val="tx1"/>
            </w14:solidFill>
          </w14:textFill>
        </w:rPr>
        <w:t>;</w:t>
      </w:r>
      <w:r>
        <w:rPr>
          <w:i/>
          <w:color w:val="000000" w:themeColor="text1"/>
          <w:sz w:val="22"/>
          <w:szCs w:val="22"/>
          <w14:textFill>
            <w14:solidFill>
              <w14:schemeClr w14:val="tx1"/>
            </w14:solidFill>
          </w14:textFill>
        </w:rPr>
        <w:t xml:space="preserve"> </w:t>
      </w:r>
      <w:r>
        <w:rPr>
          <w:i/>
          <w:color w:val="000000" w:themeColor="text1"/>
          <w:sz w:val="22"/>
          <w:szCs w:val="22"/>
          <w:lang w:val="es-ES"/>
          <w14:textFill>
            <w14:solidFill>
              <w14:schemeClr w14:val="tx1"/>
            </w14:solidFill>
          </w14:textFill>
        </w:rPr>
        <w:t>Life-cycle costing and methods</w:t>
      </w:r>
    </w:p>
    <w:p>
      <w:pPr>
        <w:pStyle w:val="12"/>
        <w:tabs>
          <w:tab w:val="left" w:pos="284"/>
          <w:tab w:val="clear" w:pos="360"/>
        </w:tabs>
        <w:outlineLvl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Introduction</w:t>
      </w:r>
    </w:p>
    <w:p>
      <w:pPr>
        <w:pStyle w:val="13"/>
        <w:ind w:firstLine="0"/>
        <w:rPr>
          <w:color w:val="000000" w:themeColor="text1"/>
          <w:sz w:val="24"/>
          <w14:textFill>
            <w14:solidFill>
              <w14:schemeClr w14:val="tx1"/>
            </w14:solidFill>
          </w14:textFill>
        </w:rPr>
      </w:pPr>
      <w:r>
        <w:rPr>
          <w:color w:val="000000" w:themeColor="text1"/>
          <w:sz w:val="24"/>
          <w:lang w:val="en-GB"/>
          <w14:textFill>
            <w14:solidFill>
              <w14:schemeClr w14:val="tx1"/>
            </w14:solidFill>
          </w14:textFill>
        </w:rPr>
        <w:t>All the participants whose Abstract has been accepted for presentation at the Conference, either orally or by poster, are kindly requested to submit the Full Paper and the 2-page extended abstract electronically</w:t>
      </w:r>
      <w:r>
        <w:rPr>
          <w:color w:val="000000" w:themeColor="text1"/>
          <w:sz w:val="24"/>
          <w14:textFill>
            <w14:solidFill>
              <w14:schemeClr w14:val="tx1"/>
            </w14:solidFill>
          </w14:textFill>
        </w:rPr>
        <w:t xml:space="preserve"> via the web page of the Conference by </w:t>
      </w:r>
      <w:r>
        <w:rPr>
          <w:rFonts w:hint="eastAsia"/>
          <w:b/>
          <w:color w:val="000000" w:themeColor="text1"/>
          <w:sz w:val="24"/>
          <w14:textFill>
            <w14:solidFill>
              <w14:schemeClr w14:val="tx1"/>
            </w14:solidFill>
          </w14:textFill>
        </w:rPr>
        <w:t>April 15th, 2023</w:t>
      </w:r>
      <w:r>
        <w:rPr>
          <w:color w:val="000000" w:themeColor="text1"/>
          <w:sz w:val="24"/>
          <w14:textFill>
            <w14:solidFill>
              <w14:schemeClr w14:val="tx1"/>
            </w14:solidFill>
          </w14:textFill>
        </w:rPr>
        <w:t>. Both submissions are mandatory and</w:t>
      </w:r>
      <w:r>
        <w:rPr>
          <w:iCs/>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the Conference Proceedings (full papers) </w:t>
      </w:r>
      <w:r>
        <w:rPr>
          <w:sz w:val="24"/>
        </w:rPr>
        <w:t xml:space="preserve">will be submitted for indexation in the </w:t>
      </w:r>
      <w:r>
        <w:rPr>
          <w:i/>
          <w:iCs/>
          <w:sz w:val="24"/>
        </w:rPr>
        <w:t xml:space="preserve">Data Citation Index </w:t>
      </w:r>
      <w:r>
        <w:rPr>
          <w:i/>
          <w:sz w:val="24"/>
        </w:rPr>
        <w:t>– Web of Science (Clarivate Analytics) and in SCOPUS database</w:t>
      </w:r>
      <w:r>
        <w:rPr>
          <w:iCs/>
          <w:color w:val="000000" w:themeColor="text1"/>
          <w:sz w:val="24"/>
          <w14:textFill>
            <w14:solidFill>
              <w14:schemeClr w14:val="tx1"/>
            </w14:solidFill>
          </w14:textFill>
        </w:rPr>
        <w:t>.</w:t>
      </w:r>
      <w:r>
        <w:rPr>
          <w:rFonts w:ascii="Verdana" w:hAnsi="Verdana"/>
          <w:color w:val="000000" w:themeColor="text1"/>
          <w:sz w:val="16"/>
          <w:szCs w:val="16"/>
          <w14:textFill>
            <w14:solidFill>
              <w14:schemeClr w14:val="tx1"/>
            </w14:solidFill>
          </w14:textFill>
        </w:rPr>
        <w:t xml:space="preserve"> </w:t>
      </w:r>
      <w:r>
        <w:rPr>
          <w:color w:val="000000" w:themeColor="text1"/>
          <w:sz w:val="24"/>
          <w:lang w:val="en-GB"/>
          <w14:textFill>
            <w14:solidFill>
              <w14:schemeClr w14:val="tx1"/>
            </w14:solidFill>
          </w14:textFill>
        </w:rPr>
        <w:t xml:space="preserve">The Full Paper and the extended abstract should be written following this template and macros for submission, or their equivalent in </w:t>
      </w:r>
      <w:r>
        <w:rPr>
          <w:i/>
          <w:color w:val="000000" w:themeColor="text1"/>
          <w:sz w:val="24"/>
          <w:lang w:val="en-GB"/>
          <w14:textFill>
            <w14:solidFill>
              <w14:schemeClr w14:val="tx1"/>
            </w14:solidFill>
          </w14:textFill>
        </w:rPr>
        <w:t>LaTeX</w:t>
      </w:r>
      <w:r>
        <w:rPr>
          <w:color w:val="000000" w:themeColor="text1"/>
          <w:sz w:val="24"/>
          <w:lang w:val="en-GB"/>
          <w14:textFill>
            <w14:solidFill>
              <w14:schemeClr w14:val="tx1"/>
            </w14:solidFill>
          </w14:textFill>
        </w:rPr>
        <w:t xml:space="preserve">. The files have to be translated into Portable Document Format (PDF) before submission via the </w:t>
      </w:r>
      <w:bookmarkStart w:id="0" w:name="_GoBack"/>
      <w:bookmarkEnd w:id="0"/>
      <w:r>
        <w:rPr>
          <w:color w:val="000000" w:themeColor="text1"/>
          <w:sz w:val="24"/>
          <w:lang w:val="en-GB"/>
          <w14:textFill>
            <w14:solidFill>
              <w14:schemeClr w14:val="tx1"/>
            </w14:solidFill>
          </w14:textFill>
        </w:rPr>
        <w:t>Conference site.</w:t>
      </w: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The submitted Full Paper, as well as the extended abstract, will be reviewed by the Scientific Committee with the resulting feedback with the corresponding author. The organizers do not commit themselves to include in the Proceedings any Full Paper received later than the above-mentioned deadline. The corresponding author and/or the speaker is expected to register and pay his registration fee </w:t>
      </w:r>
      <w:r>
        <w:rPr>
          <w:color w:val="000000" w:themeColor="text1"/>
          <w:sz w:val="24"/>
          <w:szCs w:val="20"/>
          <w14:textFill>
            <w14:solidFill>
              <w14:schemeClr w14:val="tx1"/>
            </w14:solidFill>
          </w14:textFill>
        </w:rPr>
        <w:t xml:space="preserve">for the paper to be included in the technical program and proceedings of the Conference. Note the early-bird registration starts from </w:t>
      </w:r>
      <w:r>
        <w:rPr>
          <w:b/>
          <w:bCs/>
          <w:color w:val="000000" w:themeColor="text1"/>
          <w:sz w:val="24"/>
          <w:szCs w:val="20"/>
          <w14:textFill>
            <w14:solidFill>
              <w14:schemeClr w14:val="tx1"/>
            </w14:solidFill>
          </w14:textFill>
        </w:rPr>
        <w:t>January 1, 2023 to June 30, 2023</w:t>
      </w:r>
      <w:r>
        <w:rPr>
          <w:color w:val="000000" w:themeColor="text1"/>
          <w:sz w:val="24"/>
          <w:szCs w:val="20"/>
          <w14:textFill>
            <w14:solidFill>
              <w14:schemeClr w14:val="tx1"/>
            </w14:solidFill>
          </w14:textFill>
        </w:rPr>
        <w:t>, and reduced tariffs are offered during this period.</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2</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General Specifications</w:t>
      </w:r>
    </w:p>
    <w:p>
      <w:pPr>
        <w:pStyle w:val="13"/>
        <w:ind w:firstLine="0"/>
        <w:rPr>
          <w:color w:val="000000" w:themeColor="text1"/>
          <w:sz w:val="24"/>
          <w:szCs w:val="18"/>
          <w14:textFill>
            <w14:solidFill>
              <w14:schemeClr w14:val="tx1"/>
            </w14:solidFill>
          </w14:textFill>
        </w:rPr>
      </w:pPr>
      <w:r>
        <w:rPr>
          <w:color w:val="000000" w:themeColor="text1"/>
          <w:sz w:val="24"/>
          <w14:textFill>
            <w14:solidFill>
              <w14:schemeClr w14:val="tx1"/>
            </w14:solidFill>
          </w14:textFill>
        </w:rPr>
        <w:t xml:space="preserve">The Full Paper must be written in English within a printing box of 16cm x 22cm, centered in the page. The Full Paper including figures, tables and references must have a minimum length of 6 pages and must not exceed 8 pages. </w:t>
      </w:r>
      <w:r>
        <w:rPr>
          <w:color w:val="000000" w:themeColor="text1"/>
          <w:sz w:val="24"/>
          <w:szCs w:val="18"/>
          <w14:textFill>
            <w14:solidFill>
              <w14:schemeClr w14:val="tx1"/>
            </w14:solidFill>
          </w14:textFill>
        </w:rPr>
        <w:t>Maximum file size is 4 MB.</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3</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Title, Authors, Affiliation, Abstract and Keywords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first page must contain the Title, Author(s), Affiliation(s), Abstract, and the Keywords. The Introduction must begin immediately below, following the format of this template.</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3.1</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Title</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title should be written centered, in 14pt, boldface Times New Roman, in Title Case letters (</w:t>
      </w:r>
      <w:r>
        <w:rPr>
          <w:i/>
          <w:color w:val="000000" w:themeColor="text1"/>
          <w:sz w:val="24"/>
          <w14:textFill>
            <w14:solidFill>
              <w14:schemeClr w14:val="tx1"/>
            </w14:solidFill>
          </w14:textFill>
        </w:rPr>
        <w:t>i.e.</w:t>
      </w:r>
      <w:r>
        <w:rPr>
          <w:color w:val="000000" w:themeColor="text1"/>
          <w:sz w:val="24"/>
          <w14:textFill>
            <w14:solidFill>
              <w14:schemeClr w14:val="tx1"/>
            </w14:solidFill>
          </w14:textFill>
        </w:rPr>
        <w:t xml:space="preserve"> Capitalizing Nouns, Pronouns, Verbs, Adjectives and Adverbs). It should be single spaced if the title is more than one line long. </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3.2</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Authors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author's name should include first name, middle initial and surname. It should be written centered, in 12pt boldface Times New Roman, 12pt below the title.</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3.3</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Affiliation</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Author's affiliation should be written centered, in 11pt Times New Roman, 12pt below the list of authors. A maximum of two lines per affiliation is allowed. A 6pt space should separate two different affiliations.</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3.4</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Abstract</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The word </w:t>
      </w:r>
      <w:r>
        <w:rPr>
          <w:b/>
          <w:bCs/>
          <w:color w:val="000000" w:themeColor="text1"/>
          <w:sz w:val="24"/>
          <w14:textFill>
            <w14:solidFill>
              <w14:schemeClr w14:val="tx1"/>
            </w14:solidFill>
          </w14:textFill>
        </w:rPr>
        <w:t>Abstract</w:t>
      </w:r>
      <w:r>
        <w:rPr>
          <w:color w:val="000000" w:themeColor="text1"/>
          <w:sz w:val="24"/>
          <w14:textFill>
            <w14:solidFill>
              <w14:schemeClr w14:val="tx1"/>
            </w14:solidFill>
          </w14:textFill>
        </w:rPr>
        <w:t xml:space="preserve"> must be set in boldface, not italicized, at the beginning of the first line. Use 11pt Italic Times New Roman for the rest of the summary. The text, no longer than 20 lines, should be justified and separated 12pt from the last affiliation, as shown in the first page of these instructions.</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3.5</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Keywords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Please, write no more than five keywords, separated by commas and ending with a period. They should be written left aligned, in 11pt Italic Times New Roman and Title Case letters, and the line must begin with the word </w:t>
      </w:r>
      <w:r>
        <w:rPr>
          <w:b/>
          <w:bCs/>
          <w:color w:val="000000" w:themeColor="text1"/>
          <w:sz w:val="24"/>
          <w14:textFill>
            <w14:solidFill>
              <w14:schemeClr w14:val="tx1"/>
            </w14:solidFill>
          </w14:textFill>
        </w:rPr>
        <w:t xml:space="preserve">Keywords: </w:t>
      </w:r>
      <w:r>
        <w:rPr>
          <w:color w:val="000000" w:themeColor="text1"/>
          <w:sz w:val="24"/>
          <w14:textFill>
            <w14:solidFill>
              <w14:schemeClr w14:val="tx1"/>
            </w14:solidFill>
          </w14:textFill>
        </w:rPr>
        <w:t>boldfaced. A 12pt space should separate the keywords from the Abstract.</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4</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Main Headings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main headings should be written left aligned, in 14pt, boldface and Title Case Times New Roman letters. There should be a 12pt space before and 6pt after the main headings.</w:t>
      </w:r>
    </w:p>
    <w:p>
      <w:pPr>
        <w:pStyle w:val="14"/>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4.1</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Primary Subheadings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primary subheadings should be written left aligned, in 12pt, boldface and Title Case Times New Roman letters. There should be a 12pt space before and 6pt after the primary headings.</w:t>
      </w:r>
    </w:p>
    <w:p>
      <w:pPr>
        <w:pStyle w:val="14"/>
        <w:outlineLvl w:val="0"/>
        <w:rPr>
          <w:i/>
          <w:color w:val="000000" w:themeColor="text1"/>
          <w:sz w:val="24"/>
          <w14:textFill>
            <w14:solidFill>
              <w14:schemeClr w14:val="tx1"/>
            </w14:solidFill>
          </w14:textFill>
        </w:rPr>
      </w:pPr>
      <w:r>
        <w:rPr>
          <w:i/>
          <w:color w:val="000000" w:themeColor="text1"/>
          <w:sz w:val="24"/>
          <w14:textFill>
            <w14:solidFill>
              <w14:schemeClr w14:val="tx1"/>
            </w14:solidFill>
          </w14:textFill>
        </w:rPr>
        <w:t>4.1.1</w:t>
      </w:r>
      <w:r>
        <w:rPr>
          <w:i/>
          <w:color w:val="000000" w:themeColor="text1"/>
          <w:sz w:val="24"/>
          <w14:textFill>
            <w14:solidFill>
              <w14:schemeClr w14:val="tx1"/>
            </w14:solidFill>
          </w14:textFill>
        </w:rPr>
        <w:tab/>
      </w:r>
      <w:r>
        <w:rPr>
          <w:i/>
          <w:color w:val="000000" w:themeColor="text1"/>
          <w:sz w:val="24"/>
          <w14:textFill>
            <w14:solidFill>
              <w14:schemeClr w14:val="tx1"/>
            </w14:solidFill>
          </w14:textFill>
        </w:rPr>
        <w:t>Secondary subheadings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Secondary subheadings should be written left aligned, 12 pt, italic and boldface Times New Roman, with an initial capital for first word only. There should be a 12pt space before and 6pt after the secondary subheadings.</w:t>
      </w:r>
    </w:p>
    <w:p>
      <w:pPr>
        <w:pStyle w:val="13"/>
        <w:ind w:firstLine="0"/>
        <w:rPr>
          <w:color w:val="000000" w:themeColor="text1"/>
          <w:sz w:val="24"/>
          <w14:textFill>
            <w14:solidFill>
              <w14:schemeClr w14:val="tx1"/>
            </w14:solidFill>
          </w14:textFill>
        </w:rPr>
      </w:pPr>
    </w:p>
    <w:p>
      <w:pPr>
        <w:pStyle w:val="13"/>
        <w:ind w:firstLine="0"/>
        <w:rPr>
          <w:color w:val="000000" w:themeColor="text1"/>
          <w:sz w:val="24"/>
          <w14:textFill>
            <w14:solidFill>
              <w14:schemeClr w14:val="tx1"/>
            </w14:solidFill>
          </w14:textFill>
        </w:rPr>
      </w:pPr>
      <w:r>
        <w:rPr>
          <w:i/>
          <w:color w:val="000000" w:themeColor="text1"/>
          <w:sz w:val="24"/>
          <w14:textFill>
            <w14:solidFill>
              <w14:schemeClr w14:val="tx1"/>
            </w14:solidFill>
          </w14:textFill>
        </w:rPr>
        <w:t>4.1.1.1</w:t>
      </w:r>
      <w:r>
        <w:rPr>
          <w:i/>
          <w:color w:val="000000" w:themeColor="text1"/>
          <w:sz w:val="24"/>
          <w14:textFill>
            <w14:solidFill>
              <w14:schemeClr w14:val="tx1"/>
            </w14:solidFill>
          </w14:textFill>
        </w:rPr>
        <w:tab/>
      </w:r>
      <w:r>
        <w:rPr>
          <w:i/>
          <w:color w:val="000000" w:themeColor="text1"/>
          <w:sz w:val="24"/>
          <w14:textFill>
            <w14:solidFill>
              <w14:schemeClr w14:val="tx1"/>
            </w14:solidFill>
          </w14:textFill>
        </w:rPr>
        <w:t xml:space="preserve"> Tertiary subheadings</w:t>
      </w:r>
      <w:r>
        <w:rPr>
          <w:color w:val="000000" w:themeColor="text1"/>
          <w:sz w:val="24"/>
          <w14:textFill>
            <w14:solidFill>
              <w14:schemeClr w14:val="tx1"/>
            </w14:solidFill>
          </w14:textFill>
        </w:rPr>
        <w:t xml:space="preserve"> (if needed, but not recommended). Tertiary subheadings should be written 12 pt, italic Times New Roman, with an initial capital for the first word only. The text of the subsection will follow the subheading.</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5</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Editorial Heading</w:t>
      </w:r>
    </w:p>
    <w:p>
      <w:pPr>
        <w:pStyle w:val="13"/>
        <w:ind w:firstLine="0"/>
        <w:rPr>
          <w:strike/>
          <w:color w:val="000000" w:themeColor="text1"/>
          <w:sz w:val="24"/>
          <w14:textFill>
            <w14:solidFill>
              <w14:schemeClr w14:val="tx1"/>
            </w14:solidFill>
          </w14:textFill>
        </w:rPr>
      </w:pPr>
      <w:r>
        <w:rPr>
          <w:color w:val="000000" w:themeColor="text1"/>
          <w:sz w:val="24"/>
          <w14:textFill>
            <w14:solidFill>
              <w14:schemeClr w14:val="tx1"/>
            </w14:solidFill>
          </w14:textFill>
        </w:rPr>
        <w:t>The first page has to include the Editorial Heading, as shown in the first page of these instructions. Successive pages will include the name of the authors.</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6</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Text</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The normal text should be written single-spaced, justified, using 12pt Times New Roman in one column. The first line of the first paragraph in each Section or Subsection must be not indented.</w:t>
      </w: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Subsequent paragraphs must be indented 0.5cm, as it is shown in this paragraph. There is not inter-paragraph spacing.</w:t>
      </w: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Every Section or Subsection needs its corresponding text.</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7</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Page Numbers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In order to organize the Full Paper and the extended abstract, it is better to number the pages. Page numbers are not included in the printing box.</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8</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Figures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All figures should be numbered consecutively and captioned. The caption title should be written centered, in 10pt Times New Roman, according with the example in Figure 1.</w:t>
      </w:r>
    </w:p>
    <w:p>
      <w:pPr>
        <w:pStyle w:val="13"/>
        <w:keepNext/>
        <w:spacing w:before="240" w:after="120"/>
        <w:ind w:firstLine="0"/>
        <w:jc w:val="center"/>
        <w:rPr>
          <w:color w:val="000000" w:themeColor="text1"/>
          <w14:textFill>
            <w14:solidFill>
              <w14:schemeClr w14:val="tx1"/>
            </w14:solidFill>
          </w14:textFill>
        </w:rPr>
      </w:pPr>
      <w:r>
        <w:rPr>
          <w:color w:val="000000" w:themeColor="text1"/>
          <w:szCs w:val="20"/>
          <w14:textFill>
            <w14:solidFill>
              <w14:schemeClr w14:val="tx1"/>
            </w14:solidFill>
          </w14:textFill>
        </w:rPr>
        <w:object>
          <v:shape id="_x0000_i1025" o:spt="75" type="#_x0000_t75" style="height:201pt;width:346.5pt;" o:ole="t" fillcolor="#FFFFFF"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p>
      <w:pPr>
        <w:pStyle w:val="22"/>
        <w:spacing w:after="360"/>
        <w:outlineLvl w:val="0"/>
        <w:rPr>
          <w:color w:val="000000" w:themeColor="text1"/>
          <w14:textFill>
            <w14:solidFill>
              <w14:schemeClr w14:val="tx1"/>
            </w14:solidFill>
          </w14:textFill>
        </w:rPr>
      </w:pPr>
      <w:r>
        <w:rPr>
          <w:b/>
          <w:bCs/>
          <w:color w:val="000000" w:themeColor="text1"/>
          <w14:textFill>
            <w14:solidFill>
              <w14:schemeClr w14:val="tx1"/>
            </w14:solidFill>
          </w14:textFill>
        </w:rPr>
        <w:t xml:space="preserve">Figure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SEQ Figure \* ARABIC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1</w:t>
      </w:r>
      <w:r>
        <w:rPr>
          <w:b/>
          <w:bCs/>
          <w:color w:val="000000" w:themeColor="text1"/>
          <w14:textFill>
            <w14:solidFill>
              <w14:schemeClr w14:val="tx1"/>
            </w14:solidFill>
          </w14:textFill>
        </w:rPr>
        <w:fldChar w:fldCharType="end"/>
      </w:r>
      <w:r>
        <w:rPr>
          <w:color w:val="000000" w:themeColor="text1"/>
          <w14:textFill>
            <w14:solidFill>
              <w14:schemeClr w14:val="tx1"/>
            </w14:solidFill>
          </w14:textFill>
        </w:rPr>
        <w:t>. Page layout.</w:t>
      </w: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A 6pt space should separate the figure from the caption, and a 12pt space should separate the upper part of the figure and the bottom of the caption from the surrounding text.</w:t>
      </w: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Figures must be included in the text after being referenced or added at the top of the next page.</w:t>
      </w:r>
    </w:p>
    <w:p>
      <w:pPr>
        <w:pStyle w:val="12"/>
        <w:tabs>
          <w:tab w:val="left" w:pos="284"/>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9</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Equations</w:t>
      </w:r>
    </w:p>
    <w:p>
      <w:pPr>
        <w:pStyle w:val="13"/>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All displayed equations must be numbered, using Arabic numbers in parentheses. It should be centered, leaving a 6pt space above and below to separate it from the surrounding text.</w:t>
      </w:r>
    </w:p>
    <w:p>
      <w:pPr>
        <w:pStyle w:val="13"/>
        <w:rPr>
          <w:color w:val="000000" w:themeColor="text1"/>
          <w14:textFill>
            <w14:solidFill>
              <w14:schemeClr w14:val="tx1"/>
            </w14:solidFill>
          </w14:textFill>
        </w:rPr>
      </w:pPr>
      <w:r>
        <w:rPr>
          <w:color w:val="000000" w:themeColor="text1"/>
          <w:sz w:val="24"/>
          <w14:textFill>
            <w14:solidFill>
              <w14:schemeClr w14:val="tx1"/>
            </w14:solidFill>
          </w14:textFill>
        </w:rPr>
        <w:t>The following example is a single line equation:</w:t>
      </w:r>
    </w:p>
    <w:tbl>
      <w:tblPr>
        <w:tblStyle w:val="5"/>
        <w:tblW w:w="0" w:type="auto"/>
        <w:tblInd w:w="0" w:type="dxa"/>
        <w:tblLayout w:type="fixed"/>
        <w:tblCellMar>
          <w:top w:w="0" w:type="dxa"/>
          <w:left w:w="70" w:type="dxa"/>
          <w:bottom w:w="0" w:type="dxa"/>
          <w:right w:w="70" w:type="dxa"/>
        </w:tblCellMar>
      </w:tblPr>
      <w:tblGrid>
        <w:gridCol w:w="8434"/>
        <w:gridCol w:w="776"/>
      </w:tblGrid>
      <w:tr>
        <w:tblPrEx>
          <w:tblCellMar>
            <w:top w:w="0" w:type="dxa"/>
            <w:left w:w="70" w:type="dxa"/>
            <w:bottom w:w="0" w:type="dxa"/>
            <w:right w:w="70" w:type="dxa"/>
          </w:tblCellMar>
        </w:tblPrEx>
        <w:trPr>
          <w:cantSplit/>
        </w:trPr>
        <w:tc>
          <w:tcPr>
            <w:tcW w:w="8434" w:type="dxa"/>
            <w:tcBorders>
              <w:top w:val="nil"/>
              <w:left w:val="nil"/>
              <w:bottom w:val="nil"/>
              <w:right w:val="nil"/>
            </w:tcBorders>
          </w:tcPr>
          <w:p>
            <w:pPr>
              <w:pStyle w:val="13"/>
              <w:spacing w:before="120" w:after="120"/>
              <w:ind w:right="-778" w:firstLine="0"/>
              <w:jc w:val="center"/>
              <w:rPr>
                <w:i/>
                <w:iCs/>
                <w:color w:val="000000" w:themeColor="text1"/>
                <w14:textFill>
                  <w14:solidFill>
                    <w14:schemeClr w14:val="tx1"/>
                  </w14:solidFill>
                </w14:textFill>
              </w:rPr>
            </w:pPr>
            <w:r>
              <w:rPr>
                <w:i/>
                <w:iCs/>
                <w:color w:val="000000" w:themeColor="text1"/>
                <w14:textFill>
                  <w14:solidFill>
                    <w14:schemeClr w14:val="tx1"/>
                  </w14:solidFill>
                </w14:textFill>
              </w:rPr>
              <w:t>Ax = b</w:t>
            </w:r>
          </w:p>
        </w:tc>
        <w:tc>
          <w:tcPr>
            <w:tcW w:w="776" w:type="dxa"/>
            <w:tcBorders>
              <w:top w:val="nil"/>
              <w:left w:val="nil"/>
              <w:bottom w:val="nil"/>
              <w:right w:val="nil"/>
            </w:tcBorders>
          </w:tcPr>
          <w:p>
            <w:pPr>
              <w:pStyle w:val="13"/>
              <w:spacing w:before="120" w:after="120"/>
              <w:ind w:firstLine="0"/>
              <w:jc w:val="right"/>
              <w:rPr>
                <w:color w:val="000000" w:themeColor="text1"/>
                <w14:textFill>
                  <w14:solidFill>
                    <w14:schemeClr w14:val="tx1"/>
                  </w14:solidFill>
                </w14:textFill>
              </w:rPr>
            </w:pPr>
            <w:r>
              <w:rPr>
                <w:color w:val="000000" w:themeColor="text1"/>
                <w14:textFill>
                  <w14:solidFill>
                    <w14:schemeClr w14:val="tx1"/>
                  </w14:solidFill>
                </w14:textFill>
              </w:rPr>
              <w:t>(1)</w:t>
            </w:r>
          </w:p>
        </w:tc>
      </w:tr>
    </w:tbl>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The next example is a multi-line equation:</w:t>
      </w:r>
    </w:p>
    <w:tbl>
      <w:tblPr>
        <w:tblStyle w:val="5"/>
        <w:tblW w:w="5000" w:type="pct"/>
        <w:tblInd w:w="0" w:type="dxa"/>
        <w:tblLayout w:type="autofit"/>
        <w:tblCellMar>
          <w:top w:w="0" w:type="dxa"/>
          <w:left w:w="70" w:type="dxa"/>
          <w:bottom w:w="0" w:type="dxa"/>
          <w:right w:w="70" w:type="dxa"/>
        </w:tblCellMar>
      </w:tblPr>
      <w:tblGrid>
        <w:gridCol w:w="8435"/>
        <w:gridCol w:w="776"/>
      </w:tblGrid>
      <w:tr>
        <w:tblPrEx>
          <w:tblCellMar>
            <w:top w:w="0" w:type="dxa"/>
            <w:left w:w="70" w:type="dxa"/>
            <w:bottom w:w="0" w:type="dxa"/>
            <w:right w:w="70" w:type="dxa"/>
          </w:tblCellMar>
        </w:tblPrEx>
        <w:trPr>
          <w:cantSplit/>
        </w:trPr>
        <w:tc>
          <w:tcPr>
            <w:tcW w:w="4579" w:type="pct"/>
            <w:tcBorders>
              <w:top w:val="nil"/>
              <w:left w:val="nil"/>
              <w:bottom w:val="nil"/>
              <w:right w:val="nil"/>
            </w:tcBorders>
          </w:tcPr>
          <w:p>
            <w:pPr>
              <w:pStyle w:val="13"/>
              <w:spacing w:before="120"/>
              <w:ind w:right="-778" w:firstLine="0"/>
              <w:jc w:val="center"/>
              <w:rPr>
                <w:i/>
                <w:iCs/>
                <w:color w:val="000000" w:themeColor="text1"/>
                <w14:textFill>
                  <w14:solidFill>
                    <w14:schemeClr w14:val="tx1"/>
                  </w14:solidFill>
                </w14:textFill>
              </w:rPr>
            </w:pPr>
            <m:oMathPara>
              <m:oMath>
                <m:d>
                  <m:dPr>
                    <m:begChr m:val=""/>
                    <m:endChr m:val="}"/>
                    <m:ctrlPr>
                      <w:rPr>
                        <w:rFonts w:ascii="Cambria Math" w:hAnsi="Cambria Math"/>
                        <w:i/>
                        <w:iCs/>
                        <w:color w:val="000000" w:themeColor="text1"/>
                        <w14:textFill>
                          <w14:solidFill>
                            <w14:schemeClr w14:val="tx1"/>
                          </w14:solidFill>
                        </w14:textFill>
                      </w:rPr>
                    </m:ctrlPr>
                  </m:dPr>
                  <m:e>
                    <m:m>
                      <m:mPr>
                        <m:mcs>
                          <m:mc>
                            <m:mcPr>
                              <m:count m:val="3"/>
                              <m:mcJc m:val="center"/>
                            </m:mcPr>
                          </m:mc>
                        </m:mcs>
                        <m:ctrlPr>
                          <w:rPr>
                            <w:rFonts w:ascii="Cambria Math" w:hAnsi="Cambria Math"/>
                            <w:i/>
                            <w:iCs/>
                            <w:color w:val="000000" w:themeColor="text1"/>
                            <w14:textFill>
                              <w14:solidFill>
                                <w14:schemeClr w14:val="tx1"/>
                              </w14:solidFill>
                            </w14:textFill>
                          </w:rPr>
                        </m:ctrlPr>
                      </m:mPr>
                      <m:mr>
                        <m:e>
                          <m:r>
                            <m:rPr/>
                            <w:rPr>
                              <w:rFonts w:ascii="Cambria Math" w:hAnsi="Cambria Math"/>
                              <w:color w:val="000000" w:themeColor="text1"/>
                              <w14:textFill>
                                <w14:solidFill>
                                  <w14:schemeClr w14:val="tx1"/>
                                </w14:solidFill>
                              </w14:textFill>
                            </w:rPr>
                            <m:t>Ax</m:t>
                          </m:r>
                          <m:ctrlPr>
                            <w:rPr>
                              <w:rFonts w:ascii="Cambria Math" w:hAnsi="Cambria Math"/>
                              <w:i/>
                              <w:iCs/>
                              <w:color w:val="000000" w:themeColor="text1"/>
                              <w14:textFill>
                                <w14:solidFill>
                                  <w14:schemeClr w14:val="tx1"/>
                                </w14:solidFill>
                              </w14:textFill>
                            </w:rPr>
                          </m:ctrlPr>
                        </m:e>
                        <m:e>
                          <m:r>
                            <m:rPr/>
                            <w:rPr>
                              <w:rFonts w:ascii="Cambria Math" w:hAnsi="Cambria Math"/>
                              <w:color w:val="000000" w:themeColor="text1"/>
                              <w14:textFill>
                                <w14:solidFill>
                                  <w14:schemeClr w14:val="tx1"/>
                                </w14:solidFill>
                              </w14:textFill>
                            </w:rPr>
                            <m:t>=</m:t>
                          </m:r>
                          <m:ctrlPr>
                            <w:rPr>
                              <w:rFonts w:ascii="Cambria Math" w:hAnsi="Cambria Math"/>
                              <w:i/>
                              <w:iCs/>
                              <w:color w:val="000000" w:themeColor="text1"/>
                              <w14:textFill>
                                <w14:solidFill>
                                  <w14:schemeClr w14:val="tx1"/>
                                </w14:solidFill>
                              </w14:textFill>
                            </w:rPr>
                          </m:ctrlPr>
                        </m:e>
                        <m:e>
                          <m:r>
                            <m:rPr/>
                            <w:rPr>
                              <w:rFonts w:ascii="Cambria Math" w:hAnsi="Cambria Math"/>
                              <w:color w:val="000000" w:themeColor="text1"/>
                              <w14:textFill>
                                <w14:solidFill>
                                  <w14:schemeClr w14:val="tx1"/>
                                </w14:solidFill>
                              </w14:textFill>
                            </w:rPr>
                            <m:t>b</m:t>
                          </m:r>
                          <m:ctrlPr>
                            <w:rPr>
                              <w:rFonts w:ascii="Cambria Math" w:hAnsi="Cambria Math"/>
                              <w:i/>
                              <w:iCs/>
                              <w:color w:val="000000" w:themeColor="text1"/>
                              <w14:textFill>
                                <w14:solidFill>
                                  <w14:schemeClr w14:val="tx1"/>
                                </w14:solidFill>
                              </w14:textFill>
                            </w:rPr>
                          </m:ctrlPr>
                        </m:e>
                      </m:mr>
                      <m:mr>
                        <m:e>
                          <m:r>
                            <m:rPr/>
                            <w:rPr>
                              <w:rFonts w:ascii="Cambria Math" w:hAnsi="Cambria Math"/>
                              <w:color w:val="000000" w:themeColor="text1"/>
                              <w14:textFill>
                                <w14:solidFill>
                                  <w14:schemeClr w14:val="tx1"/>
                                </w14:solidFill>
                              </w14:textFill>
                            </w:rPr>
                            <m:t>Cy</m:t>
                          </m:r>
                          <m:ctrlPr>
                            <w:rPr>
                              <w:rFonts w:ascii="Cambria Math" w:hAnsi="Cambria Math"/>
                              <w:i/>
                              <w:iCs/>
                              <w:color w:val="000000" w:themeColor="text1"/>
                              <w14:textFill>
                                <w14:solidFill>
                                  <w14:schemeClr w14:val="tx1"/>
                                </w14:solidFill>
                              </w14:textFill>
                            </w:rPr>
                          </m:ctrlPr>
                        </m:e>
                        <m:e>
                          <m:r>
                            <m:rPr/>
                            <w:rPr>
                              <w:rFonts w:ascii="Cambria Math" w:hAnsi="Cambria Math"/>
                              <w:color w:val="000000" w:themeColor="text1"/>
                              <w14:textFill>
                                <w14:solidFill>
                                  <w14:schemeClr w14:val="tx1"/>
                                </w14:solidFill>
                              </w14:textFill>
                            </w:rPr>
                            <m:t>=</m:t>
                          </m:r>
                          <m:ctrlPr>
                            <w:rPr>
                              <w:rFonts w:ascii="Cambria Math" w:hAnsi="Cambria Math"/>
                              <w:i/>
                              <w:iCs/>
                              <w:color w:val="000000" w:themeColor="text1"/>
                              <w14:textFill>
                                <w14:solidFill>
                                  <w14:schemeClr w14:val="tx1"/>
                                </w14:solidFill>
                              </w14:textFill>
                            </w:rPr>
                          </m:ctrlPr>
                        </m:e>
                        <m:e>
                          <m:r>
                            <m:rPr/>
                            <w:rPr>
                              <w:rFonts w:ascii="Cambria Math" w:hAnsi="Cambria Math"/>
                              <w:color w:val="000000" w:themeColor="text1"/>
                              <w14:textFill>
                                <w14:solidFill>
                                  <w14:schemeClr w14:val="tx1"/>
                                </w14:solidFill>
                              </w14:textFill>
                            </w:rPr>
                            <m:t>d</m:t>
                          </m:r>
                          <m:ctrlPr>
                            <w:rPr>
                              <w:rFonts w:ascii="Cambria Math" w:hAnsi="Cambria Math"/>
                              <w:i/>
                              <w:iCs/>
                              <w:color w:val="000000" w:themeColor="text1"/>
                              <w14:textFill>
                                <w14:solidFill>
                                  <w14:schemeClr w14:val="tx1"/>
                                </w14:solidFill>
                              </w14:textFill>
                            </w:rPr>
                          </m:ctrlPr>
                        </m:e>
                      </m:mr>
                    </m:m>
                    <m:r>
                      <m:rPr/>
                      <w:rPr>
                        <w:rFonts w:ascii="Cambria Math" w:hAnsi="Cambria Math"/>
                        <w:color w:val="000000" w:themeColor="text1"/>
                        <w14:textFill>
                          <w14:solidFill>
                            <w14:schemeClr w14:val="tx1"/>
                          </w14:solidFill>
                        </w14:textFill>
                      </w:rPr>
                      <m:t xml:space="preserve"> </m:t>
                    </m:r>
                    <m:ctrlPr>
                      <w:rPr>
                        <w:rFonts w:ascii="Cambria Math" w:hAnsi="Cambria Math"/>
                        <w:i/>
                        <w:iCs/>
                        <w:color w:val="000000" w:themeColor="text1"/>
                        <w14:textFill>
                          <w14:solidFill>
                            <w14:schemeClr w14:val="tx1"/>
                          </w14:solidFill>
                        </w14:textFill>
                      </w:rPr>
                    </m:ctrlPr>
                  </m:e>
                </m:d>
              </m:oMath>
            </m:oMathPara>
          </w:p>
        </w:tc>
        <w:tc>
          <w:tcPr>
            <w:tcW w:w="421" w:type="pct"/>
            <w:tcBorders>
              <w:top w:val="nil"/>
              <w:left w:val="nil"/>
              <w:bottom w:val="nil"/>
              <w:right w:val="nil"/>
            </w:tcBorders>
            <w:vAlign w:val="center"/>
          </w:tcPr>
          <w:p>
            <w:pPr>
              <w:pStyle w:val="13"/>
              <w:spacing w:after="120"/>
              <w:ind w:firstLine="0"/>
              <w:jc w:val="right"/>
              <w:rPr>
                <w:color w:val="000000" w:themeColor="text1"/>
                <w14:textFill>
                  <w14:solidFill>
                    <w14:schemeClr w14:val="tx1"/>
                  </w14:solidFill>
                </w14:textFill>
              </w:rPr>
            </w:pPr>
            <w:r>
              <w:rPr>
                <w:color w:val="000000" w:themeColor="text1"/>
                <w14:textFill>
                  <w14:solidFill>
                    <w14:schemeClr w14:val="tx1"/>
                  </w14:solidFill>
                </w14:textFill>
              </w:rPr>
              <w:t>(2)</w:t>
            </w:r>
          </w:p>
        </w:tc>
      </w:tr>
    </w:tbl>
    <w:p>
      <w:pPr>
        <w:pStyle w:val="12"/>
        <w:tabs>
          <w:tab w:val="left" w:pos="426"/>
          <w:tab w:val="clear" w:pos="360"/>
        </w:tabs>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10</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Tables</w:t>
      </w:r>
    </w:p>
    <w:p>
      <w:pPr>
        <w:pStyle w:val="13"/>
        <w:ind w:firstLine="0"/>
        <w:rPr>
          <w:color w:val="000000" w:themeColor="text1"/>
          <w14:textFill>
            <w14:solidFill>
              <w14:schemeClr w14:val="tx1"/>
            </w14:solidFill>
          </w14:textFill>
        </w:rPr>
      </w:pPr>
      <w:r>
        <w:rPr>
          <w:color w:val="000000" w:themeColor="text1"/>
          <w:sz w:val="24"/>
          <w14:textFill>
            <w14:solidFill>
              <w14:schemeClr w14:val="tx1"/>
            </w14:solidFill>
          </w14:textFill>
        </w:rPr>
        <w:t>All tables should be numbered consecutively and captioned. The caption title should be written centered, in 10pt Times New Roman, according with the example in Table 1.</w:t>
      </w:r>
    </w:p>
    <w:p>
      <w:pPr>
        <w:pStyle w:val="24"/>
        <w:spacing w:before="240" w:after="120"/>
        <w:ind w:firstLine="0"/>
        <w:rPr>
          <w:strike w:val="0"/>
          <w:color w:val="000000" w:themeColor="text1"/>
          <w:lang w:val="en-GB"/>
          <w14:textFill>
            <w14:solidFill>
              <w14:schemeClr w14:val="tx1"/>
            </w14:solidFill>
          </w14:textFill>
        </w:rPr>
      </w:pPr>
      <w:r>
        <w:rPr>
          <w:b/>
          <w:bCs/>
          <w:strike w:val="0"/>
          <w:color w:val="000000" w:themeColor="text1"/>
          <w:lang w:val="en-GB"/>
          <w14:textFill>
            <w14:solidFill>
              <w14:schemeClr w14:val="tx1"/>
            </w14:solidFill>
          </w14:textFill>
        </w:rPr>
        <w:t xml:space="preserve">Table </w:t>
      </w:r>
      <w:r>
        <w:rPr>
          <w:b/>
          <w:bCs/>
          <w:strike w:val="0"/>
          <w:color w:val="000000" w:themeColor="text1"/>
          <w14:textFill>
            <w14:solidFill>
              <w14:schemeClr w14:val="tx1"/>
            </w14:solidFill>
          </w14:textFill>
        </w:rPr>
        <w:fldChar w:fldCharType="begin"/>
      </w:r>
      <w:r>
        <w:rPr>
          <w:b/>
          <w:bCs/>
          <w:strike w:val="0"/>
          <w:color w:val="000000" w:themeColor="text1"/>
          <w:lang w:val="en-GB"/>
          <w14:textFill>
            <w14:solidFill>
              <w14:schemeClr w14:val="tx1"/>
            </w14:solidFill>
          </w14:textFill>
        </w:rPr>
        <w:instrText xml:space="preserve"> SEQ Tabla \* ARABIC </w:instrText>
      </w:r>
      <w:r>
        <w:rPr>
          <w:b/>
          <w:bCs/>
          <w:strike w:val="0"/>
          <w:color w:val="000000" w:themeColor="text1"/>
          <w14:textFill>
            <w14:solidFill>
              <w14:schemeClr w14:val="tx1"/>
            </w14:solidFill>
          </w14:textFill>
        </w:rPr>
        <w:fldChar w:fldCharType="separate"/>
      </w:r>
      <w:r>
        <w:rPr>
          <w:b/>
          <w:bCs/>
          <w:strike w:val="0"/>
          <w:color w:val="000000" w:themeColor="text1"/>
          <w:lang w:val="en-GB"/>
          <w14:textFill>
            <w14:solidFill>
              <w14:schemeClr w14:val="tx1"/>
            </w14:solidFill>
          </w14:textFill>
        </w:rPr>
        <w:t>1</w:t>
      </w:r>
      <w:r>
        <w:rPr>
          <w:b/>
          <w:bCs/>
          <w:strike w:val="0"/>
          <w:color w:val="000000" w:themeColor="text1"/>
          <w14:textFill>
            <w14:solidFill>
              <w14:schemeClr w14:val="tx1"/>
            </w14:solidFill>
          </w14:textFill>
        </w:rPr>
        <w:fldChar w:fldCharType="end"/>
      </w:r>
      <w:r>
        <w:rPr>
          <w:strike w:val="0"/>
          <w:color w:val="000000" w:themeColor="text1"/>
          <w:lang w:val="en-GB"/>
          <w14:textFill>
            <w14:solidFill>
              <w14:schemeClr w14:val="tx1"/>
            </w14:solidFill>
          </w14:textFill>
        </w:rPr>
        <w:t>. Example of the construction of a table.</w:t>
      </w:r>
    </w:p>
    <w:tbl>
      <w:tblPr>
        <w:tblStyle w:val="5"/>
        <w:tblW w:w="0" w:type="auto"/>
        <w:tblInd w:w="2622" w:type="dxa"/>
        <w:tblLayout w:type="fixed"/>
        <w:tblCellMar>
          <w:top w:w="0" w:type="dxa"/>
          <w:left w:w="70" w:type="dxa"/>
          <w:bottom w:w="0" w:type="dxa"/>
          <w:right w:w="70" w:type="dxa"/>
        </w:tblCellMar>
      </w:tblPr>
      <w:tblGrid>
        <w:gridCol w:w="1275"/>
        <w:gridCol w:w="1276"/>
        <w:gridCol w:w="1418"/>
      </w:tblGrid>
      <w:tr>
        <w:tblPrEx>
          <w:tblCellMar>
            <w:top w:w="0" w:type="dxa"/>
            <w:left w:w="70" w:type="dxa"/>
            <w:bottom w:w="0" w:type="dxa"/>
            <w:right w:w="70" w:type="dxa"/>
          </w:tblCellMar>
        </w:tblPrEx>
        <w:trPr>
          <w:cantSplit/>
          <w:trHeight w:val="253" w:hRule="atLeast"/>
          <w:tblHeader/>
        </w:trPr>
        <w:tc>
          <w:tcPr>
            <w:tcW w:w="1275" w:type="dxa"/>
            <w:tcBorders>
              <w:top w:val="single" w:color="auto" w:sz="8"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First column</w:t>
            </w:r>
          </w:p>
        </w:tc>
        <w:tc>
          <w:tcPr>
            <w:tcW w:w="1276" w:type="dxa"/>
            <w:tcBorders>
              <w:top w:val="single" w:color="auto" w:sz="8"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Second column</w:t>
            </w:r>
          </w:p>
        </w:tc>
        <w:tc>
          <w:tcPr>
            <w:tcW w:w="1418" w:type="dxa"/>
            <w:tcBorders>
              <w:top w:val="single" w:color="auto" w:sz="8"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Third column</w:t>
            </w:r>
          </w:p>
        </w:tc>
      </w:tr>
      <w:tr>
        <w:tblPrEx>
          <w:tblCellMar>
            <w:top w:w="0" w:type="dxa"/>
            <w:left w:w="70" w:type="dxa"/>
            <w:bottom w:w="0" w:type="dxa"/>
            <w:right w:w="70" w:type="dxa"/>
          </w:tblCellMar>
        </w:tblPrEx>
        <w:trPr>
          <w:cantSplit/>
          <w:trHeight w:val="253" w:hRule="atLeast"/>
          <w:tblHeader/>
        </w:trPr>
        <w:tc>
          <w:tcPr>
            <w:tcW w:w="1275" w:type="dxa"/>
            <w:tcBorders>
              <w:top w:val="single" w:color="auto" w:sz="8"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C11</w:t>
            </w:r>
          </w:p>
        </w:tc>
        <w:tc>
          <w:tcPr>
            <w:tcW w:w="1276" w:type="dxa"/>
            <w:tcBorders>
              <w:top w:val="single" w:color="auto" w:sz="8"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C12</w:t>
            </w:r>
          </w:p>
        </w:tc>
        <w:tc>
          <w:tcPr>
            <w:tcW w:w="1418" w:type="dxa"/>
            <w:tcBorders>
              <w:top w:val="single" w:color="auto" w:sz="8"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C13</w:t>
            </w:r>
          </w:p>
        </w:tc>
      </w:tr>
      <w:tr>
        <w:tblPrEx>
          <w:tblCellMar>
            <w:top w:w="0" w:type="dxa"/>
            <w:left w:w="70" w:type="dxa"/>
            <w:bottom w:w="0" w:type="dxa"/>
            <w:right w:w="70" w:type="dxa"/>
          </w:tblCellMar>
        </w:tblPrEx>
        <w:trPr>
          <w:cantSplit/>
          <w:trHeight w:val="253" w:hRule="atLeast"/>
          <w:tblHeader/>
        </w:trPr>
        <w:tc>
          <w:tcPr>
            <w:tcW w:w="1275"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C21</w:t>
            </w:r>
          </w:p>
        </w:tc>
        <w:tc>
          <w:tcPr>
            <w:tcW w:w="1276"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C22</w:t>
            </w:r>
          </w:p>
        </w:tc>
        <w:tc>
          <w:tcPr>
            <w:tcW w:w="1418"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C23</w:t>
            </w:r>
          </w:p>
        </w:tc>
      </w:tr>
      <w:tr>
        <w:tblPrEx>
          <w:tblCellMar>
            <w:top w:w="0" w:type="dxa"/>
            <w:left w:w="70" w:type="dxa"/>
            <w:bottom w:w="0" w:type="dxa"/>
            <w:right w:w="70" w:type="dxa"/>
          </w:tblCellMar>
        </w:tblPrEx>
        <w:trPr>
          <w:cantSplit/>
          <w:trHeight w:val="253" w:hRule="atLeast"/>
          <w:tblHeader/>
        </w:trPr>
        <w:tc>
          <w:tcPr>
            <w:tcW w:w="1275"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C31</w:t>
            </w:r>
          </w:p>
        </w:tc>
        <w:tc>
          <w:tcPr>
            <w:tcW w:w="1276"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C32</w:t>
            </w:r>
          </w:p>
        </w:tc>
        <w:tc>
          <w:tcPr>
            <w:tcW w:w="1418"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C33</w:t>
            </w:r>
          </w:p>
        </w:tc>
      </w:tr>
      <w:tr>
        <w:tblPrEx>
          <w:tblCellMar>
            <w:top w:w="0" w:type="dxa"/>
            <w:left w:w="70" w:type="dxa"/>
            <w:bottom w:w="0" w:type="dxa"/>
            <w:right w:w="70" w:type="dxa"/>
          </w:tblCellMar>
        </w:tblPrEx>
        <w:trPr>
          <w:cantSplit/>
          <w:trHeight w:val="253" w:hRule="atLeast"/>
          <w:tblHeader/>
        </w:trPr>
        <w:tc>
          <w:tcPr>
            <w:tcW w:w="1275"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C41</w:t>
            </w:r>
          </w:p>
        </w:tc>
        <w:tc>
          <w:tcPr>
            <w:tcW w:w="1276"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C42</w:t>
            </w:r>
          </w:p>
        </w:tc>
        <w:tc>
          <w:tcPr>
            <w:tcW w:w="1418" w:type="dxa"/>
            <w:tcBorders>
              <w:top w:val="single" w:color="auto" w:sz="4" w:space="0"/>
              <w:bottom w:val="single" w:color="auto" w:sz="4"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C43</w:t>
            </w:r>
          </w:p>
        </w:tc>
      </w:tr>
      <w:tr>
        <w:tblPrEx>
          <w:tblCellMar>
            <w:top w:w="0" w:type="dxa"/>
            <w:left w:w="70" w:type="dxa"/>
            <w:bottom w:w="0" w:type="dxa"/>
            <w:right w:w="70" w:type="dxa"/>
          </w:tblCellMar>
        </w:tblPrEx>
        <w:trPr>
          <w:cantSplit/>
          <w:trHeight w:val="253" w:hRule="atLeast"/>
        </w:trPr>
        <w:tc>
          <w:tcPr>
            <w:tcW w:w="1275" w:type="dxa"/>
            <w:tcBorders>
              <w:top w:val="single" w:color="auto" w:sz="4"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C51</w:t>
            </w:r>
          </w:p>
        </w:tc>
        <w:tc>
          <w:tcPr>
            <w:tcW w:w="1276" w:type="dxa"/>
            <w:tcBorders>
              <w:top w:val="single" w:color="auto" w:sz="4"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C52</w:t>
            </w:r>
          </w:p>
        </w:tc>
        <w:tc>
          <w:tcPr>
            <w:tcW w:w="1418" w:type="dxa"/>
            <w:tcBorders>
              <w:top w:val="single" w:color="auto" w:sz="4" w:space="0"/>
              <w:bottom w:val="single" w:color="auto" w:sz="8" w:space="0"/>
            </w:tcBorders>
          </w:tcPr>
          <w:p>
            <w:pPr>
              <w:pStyle w:val="23"/>
              <w:tabs>
                <w:tab w:val="clear" w:pos="142"/>
              </w:tabs>
              <w:ind w:left="214"/>
              <w:rPr>
                <w:strike w:val="0"/>
                <w:color w:val="000000" w:themeColor="text1"/>
                <w:spacing w:val="4"/>
                <w:lang w:val="en-US"/>
                <w14:textFill>
                  <w14:solidFill>
                    <w14:schemeClr w14:val="tx1"/>
                  </w14:solidFill>
                </w14:textFill>
              </w:rPr>
            </w:pPr>
            <w:r>
              <w:rPr>
                <w:strike w:val="0"/>
                <w:color w:val="000000" w:themeColor="text1"/>
                <w:spacing w:val="4"/>
                <w:lang w:val="en-US"/>
                <w14:textFill>
                  <w14:solidFill>
                    <w14:schemeClr w14:val="tx1"/>
                  </w14:solidFill>
                </w14:textFill>
              </w:rPr>
              <w:t>C53</w:t>
            </w:r>
          </w:p>
        </w:tc>
      </w:tr>
    </w:tbl>
    <w:p>
      <w:pPr>
        <w:pStyle w:val="13"/>
        <w:rPr>
          <w:color w:val="000000" w:themeColor="text1"/>
          <w:sz w:val="24"/>
          <w14:textFill>
            <w14:solidFill>
              <w14:schemeClr w14:val="tx1"/>
            </w14:solidFill>
          </w14:textFill>
        </w:rPr>
      </w:pPr>
    </w:p>
    <w:p>
      <w:pPr>
        <w:pStyle w:val="13"/>
        <w:rPr>
          <w:color w:val="000000" w:themeColor="text1"/>
          <w:sz w:val="24"/>
          <w14:textFill>
            <w14:solidFill>
              <w14:schemeClr w14:val="tx1"/>
            </w14:solidFill>
          </w14:textFill>
        </w:rPr>
      </w:pPr>
      <w:r>
        <w:rPr>
          <w:color w:val="000000" w:themeColor="text1"/>
          <w:sz w:val="24"/>
          <w14:textFill>
            <w14:solidFill>
              <w14:schemeClr w14:val="tx1"/>
            </w14:solidFill>
          </w14:textFill>
        </w:rPr>
        <w:t>A 6pt space should separate the table from the caption, and a 12pt space should separate the table from the surrounding text.</w:t>
      </w:r>
    </w:p>
    <w:p>
      <w:pPr>
        <w:pStyle w:val="12"/>
        <w:tabs>
          <w:tab w:val="left" w:pos="426"/>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11</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Format of References</w:t>
      </w:r>
    </w:p>
    <w:p>
      <w:pPr>
        <w:pStyle w:val="13"/>
        <w:ind w:firstLine="0"/>
        <w:rPr>
          <w:sz w:val="24"/>
        </w:rPr>
      </w:pPr>
      <w:r>
        <w:rPr>
          <w:sz w:val="24"/>
        </w:rPr>
        <w:t>References should be cited in the text according to APA style -</w:t>
      </w:r>
      <w:r>
        <w:rPr>
          <w:i/>
          <w:sz w:val="24"/>
        </w:rPr>
        <w:t>e.g.</w:t>
      </w:r>
      <w:r>
        <w:rPr>
          <w:sz w:val="24"/>
        </w:rPr>
        <w:t xml:space="preserve"> </w:t>
      </w:r>
      <w:r>
        <w:rPr>
          <w:rFonts w:hint="eastAsia"/>
          <w:sz w:val="24"/>
          <w:lang w:eastAsia="zh-CN"/>
        </w:rPr>
        <w:t>T</w:t>
      </w:r>
      <w:r>
        <w:rPr>
          <w:iCs/>
          <w:sz w:val="24"/>
          <w:lang w:eastAsia="en-US"/>
        </w:rPr>
        <w:t xml:space="preserve">he service life (ISO 15686-8:2008), </w:t>
      </w:r>
      <w:r>
        <w:rPr>
          <w:rFonts w:hint="eastAsia"/>
          <w:iCs/>
          <w:sz w:val="24"/>
          <w:lang w:eastAsia="zh-CN"/>
        </w:rPr>
        <w:t>green materials (</w:t>
      </w:r>
      <w:r>
        <w:rPr>
          <w:iCs/>
          <w:sz w:val="24"/>
          <w:lang w:eastAsia="en-US"/>
        </w:rPr>
        <w:t>Wang and Liu 2019</w:t>
      </w:r>
      <w:r>
        <w:rPr>
          <w:rFonts w:hint="eastAsia"/>
          <w:iCs/>
          <w:sz w:val="24"/>
          <w:lang w:eastAsia="zh-CN"/>
        </w:rPr>
        <w:t xml:space="preserve">, </w:t>
      </w:r>
      <w:r>
        <w:rPr>
          <w:sz w:val="24"/>
        </w:rPr>
        <w:t>Xu et al</w:t>
      </w:r>
      <w:r>
        <w:rPr>
          <w:rFonts w:hint="eastAsia"/>
          <w:sz w:val="24"/>
          <w:lang w:eastAsia="zh-CN"/>
        </w:rPr>
        <w:t>.</w:t>
      </w:r>
      <w:r>
        <w:rPr>
          <w:sz w:val="24"/>
        </w:rPr>
        <w:t xml:space="preserve"> 2022</w:t>
      </w:r>
      <w:r>
        <w:rPr>
          <w:rFonts w:hint="eastAsia"/>
          <w:iCs/>
          <w:sz w:val="24"/>
          <w:lang w:eastAsia="zh-CN"/>
        </w:rPr>
        <w:t>),</w:t>
      </w:r>
      <w:r>
        <w:rPr>
          <w:sz w:val="24"/>
        </w:rPr>
        <w:t xml:space="preserve"> </w:t>
      </w:r>
      <w:r>
        <w:rPr>
          <w:rFonts w:hint="eastAsia"/>
          <w:sz w:val="24"/>
          <w:lang w:eastAsia="zh-CN"/>
        </w:rPr>
        <w:t>hazards management</w:t>
      </w:r>
      <w:r>
        <w:rPr>
          <w:sz w:val="24"/>
        </w:rPr>
        <w:t xml:space="preserve"> </w:t>
      </w:r>
      <w:r>
        <w:rPr>
          <w:rFonts w:hint="eastAsia"/>
          <w:sz w:val="24"/>
          <w:lang w:eastAsia="zh-CN"/>
        </w:rPr>
        <w:t>(</w:t>
      </w:r>
      <w:r>
        <w:rPr>
          <w:sz w:val="24"/>
        </w:rPr>
        <w:t>Zeng et al</w:t>
      </w:r>
      <w:r>
        <w:rPr>
          <w:rFonts w:hint="eastAsia"/>
          <w:sz w:val="24"/>
          <w:lang w:eastAsia="zh-CN"/>
        </w:rPr>
        <w:t>.</w:t>
      </w:r>
      <w:r>
        <w:rPr>
          <w:sz w:val="24"/>
        </w:rPr>
        <w:t xml:space="preserve"> 2022)</w:t>
      </w:r>
      <w:r>
        <w:rPr>
          <w:rFonts w:hint="eastAsia"/>
          <w:sz w:val="24"/>
          <w:lang w:eastAsia="zh-CN"/>
        </w:rPr>
        <w:t>, i</w:t>
      </w:r>
      <w:r>
        <w:rPr>
          <w:sz w:val="24"/>
          <w:lang w:eastAsia="zh-CN"/>
        </w:rPr>
        <w:t>ntelligent construction</w:t>
      </w:r>
      <w:r>
        <w:rPr>
          <w:sz w:val="24"/>
        </w:rPr>
        <w:t xml:space="preserve"> </w:t>
      </w:r>
      <w:r>
        <w:rPr>
          <w:rFonts w:hint="eastAsia"/>
          <w:sz w:val="24"/>
          <w:lang w:eastAsia="zh-CN"/>
        </w:rPr>
        <w:t>(</w:t>
      </w:r>
      <w:r>
        <w:rPr>
          <w:sz w:val="24"/>
        </w:rPr>
        <w:t>Magoua et al</w:t>
      </w:r>
      <w:r>
        <w:rPr>
          <w:rFonts w:hint="eastAsia"/>
          <w:sz w:val="24"/>
          <w:lang w:eastAsia="zh-CN"/>
        </w:rPr>
        <w:t>.</w:t>
      </w:r>
      <w:r>
        <w:rPr>
          <w:sz w:val="24"/>
        </w:rPr>
        <w:t xml:space="preserve"> 2022</w:t>
      </w:r>
      <w:r>
        <w:rPr>
          <w:rFonts w:hint="eastAsia"/>
          <w:sz w:val="24"/>
          <w:lang w:eastAsia="zh-CN"/>
        </w:rPr>
        <w:t>)</w:t>
      </w:r>
      <w:r>
        <w:rPr>
          <w:sz w:val="24"/>
        </w:rPr>
        <w:t>,</w:t>
      </w:r>
      <w:r>
        <w:rPr>
          <w:rFonts w:hint="eastAsia"/>
          <w:sz w:val="24"/>
          <w:lang w:eastAsia="zh-CN"/>
        </w:rPr>
        <w:t xml:space="preserve"> and sustainable </w:t>
      </w:r>
      <w:r>
        <w:rPr>
          <w:sz w:val="24"/>
          <w:lang w:eastAsia="zh-CN"/>
        </w:rPr>
        <w:t>development</w:t>
      </w:r>
      <w:r>
        <w:rPr>
          <w:sz w:val="24"/>
        </w:rPr>
        <w:t xml:space="preserve"> (Liu et al</w:t>
      </w:r>
      <w:r>
        <w:rPr>
          <w:rFonts w:hint="eastAsia"/>
          <w:sz w:val="24"/>
          <w:lang w:eastAsia="zh-CN"/>
        </w:rPr>
        <w:t>.</w:t>
      </w:r>
      <w:r>
        <w:rPr>
          <w:sz w:val="24"/>
        </w:rPr>
        <w:t xml:space="preserve"> 2021</w:t>
      </w:r>
      <w:r>
        <w:rPr>
          <w:rFonts w:hint="eastAsia"/>
          <w:sz w:val="24"/>
          <w:lang w:eastAsia="zh-CN"/>
        </w:rPr>
        <w:t>) are all important topics. References should be</w:t>
      </w:r>
      <w:r>
        <w:rPr>
          <w:sz w:val="24"/>
        </w:rPr>
        <w:t xml:space="preserve"> grouped together at the end of the Full Paper in alphabetical order as shown in these instructions. The non-numbered list of references Section must be written in 10pt Times New Roman letters.</w:t>
      </w:r>
    </w:p>
    <w:p>
      <w:pPr>
        <w:pStyle w:val="12"/>
        <w:tabs>
          <w:tab w:val="left" w:pos="426"/>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12</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Instructions for the 2-page Extended Abstract</w:t>
      </w:r>
    </w:p>
    <w:p>
      <w:pPr>
        <w:pStyle w:val="13"/>
        <w:ind w:firstLine="0"/>
        <w:rPr>
          <w:sz w:val="24"/>
        </w:rPr>
      </w:pPr>
      <w:r>
        <w:rPr>
          <w:sz w:val="24"/>
        </w:rPr>
        <w:t>The 2-page extended abstract should be structured in a similar manner than the Full Paper. It must contain the main ideas, aims, methodologies, results and conclusions. Full Paper Instructions are also valid for the Extended Abstract with these additional requirements:</w:t>
      </w:r>
    </w:p>
    <w:p>
      <w:pPr>
        <w:pStyle w:val="13"/>
        <w:numPr>
          <w:ilvl w:val="0"/>
          <w:numId w:val="2"/>
        </w:numPr>
        <w:rPr>
          <w:sz w:val="24"/>
        </w:rPr>
      </w:pPr>
      <w:r>
        <w:rPr>
          <w:sz w:val="24"/>
        </w:rPr>
        <w:t>Two pages length</w:t>
      </w:r>
    </w:p>
    <w:p>
      <w:pPr>
        <w:pStyle w:val="13"/>
        <w:numPr>
          <w:ilvl w:val="0"/>
          <w:numId w:val="2"/>
        </w:numPr>
        <w:rPr>
          <w:sz w:val="24"/>
        </w:rPr>
      </w:pPr>
      <w:r>
        <w:rPr>
          <w:sz w:val="24"/>
        </w:rPr>
        <w:t>No Abstract section</w:t>
      </w:r>
    </w:p>
    <w:p>
      <w:pPr>
        <w:pStyle w:val="13"/>
        <w:numPr>
          <w:ilvl w:val="0"/>
          <w:numId w:val="2"/>
        </w:numPr>
        <w:rPr>
          <w:sz w:val="24"/>
        </w:rPr>
      </w:pPr>
      <w:r>
        <w:rPr>
          <w:sz w:val="24"/>
        </w:rPr>
        <w:t>Max two Figures</w:t>
      </w:r>
    </w:p>
    <w:p>
      <w:pPr>
        <w:pStyle w:val="13"/>
        <w:numPr>
          <w:ilvl w:val="0"/>
          <w:numId w:val="2"/>
        </w:numPr>
        <w:rPr>
          <w:sz w:val="24"/>
        </w:rPr>
      </w:pPr>
      <w:r>
        <w:rPr>
          <w:sz w:val="24"/>
        </w:rPr>
        <w:t>Max two Tables</w:t>
      </w:r>
    </w:p>
    <w:p>
      <w:pPr>
        <w:pStyle w:val="13"/>
        <w:numPr>
          <w:ilvl w:val="0"/>
          <w:numId w:val="2"/>
        </w:numPr>
        <w:rPr>
          <w:sz w:val="24"/>
        </w:rPr>
      </w:pPr>
      <w:r>
        <w:rPr>
          <w:sz w:val="24"/>
        </w:rPr>
        <w:t xml:space="preserve">Max </w:t>
      </w:r>
      <w:r>
        <w:rPr>
          <w:rFonts w:hint="eastAsia"/>
          <w:sz w:val="24"/>
          <w:lang w:eastAsia="zh-CN"/>
        </w:rPr>
        <w:t>ten</w:t>
      </w:r>
      <w:r>
        <w:rPr>
          <w:sz w:val="24"/>
        </w:rPr>
        <w:t xml:space="preserve"> references</w:t>
      </w:r>
    </w:p>
    <w:p>
      <w:pPr>
        <w:pStyle w:val="12"/>
        <w:tabs>
          <w:tab w:val="left" w:pos="426"/>
          <w:tab w:val="clear" w:pos="360"/>
        </w:tabs>
        <w:outlineLvl w:val="0"/>
        <w:rPr>
          <w:caps w:val="0"/>
          <w:color w:val="000000" w:themeColor="text1"/>
          <w:sz w:val="28"/>
          <w:szCs w:val="28"/>
          <w14:textFill>
            <w14:solidFill>
              <w14:schemeClr w14:val="tx1"/>
            </w14:solidFill>
          </w14:textFill>
        </w:rPr>
      </w:pPr>
      <w:r>
        <w:rPr>
          <w:caps w:val="0"/>
          <w:color w:val="000000" w:themeColor="text1"/>
          <w:sz w:val="28"/>
          <w:szCs w:val="28"/>
          <w14:textFill>
            <w14:solidFill>
              <w14:schemeClr w14:val="tx1"/>
            </w14:solidFill>
          </w14:textFill>
        </w:rPr>
        <w:t>13</w:t>
      </w:r>
      <w:r>
        <w:rPr>
          <w:caps w:val="0"/>
          <w:color w:val="000000" w:themeColor="text1"/>
          <w:sz w:val="28"/>
          <w:szCs w:val="28"/>
          <w14:textFill>
            <w14:solidFill>
              <w14:schemeClr w14:val="tx1"/>
            </w14:solidFill>
          </w14:textFill>
        </w:rPr>
        <w:tab/>
      </w:r>
      <w:r>
        <w:rPr>
          <w:caps w:val="0"/>
          <w:color w:val="000000" w:themeColor="text1"/>
          <w:sz w:val="28"/>
          <w:szCs w:val="28"/>
          <w14:textFill>
            <w14:solidFill>
              <w14:schemeClr w14:val="tx1"/>
            </w14:solidFill>
          </w14:textFill>
        </w:rPr>
        <w:t>Conclusions</w:t>
      </w:r>
    </w:p>
    <w:p>
      <w:pPr>
        <w:pStyle w:val="13"/>
        <w:numPr>
          <w:ilvl w:val="0"/>
          <w:numId w:val="3"/>
        </w:numPr>
        <w:rPr>
          <w:color w:val="000000" w:themeColor="text1"/>
          <w:sz w:val="24"/>
          <w14:textFill>
            <w14:solidFill>
              <w14:schemeClr w14:val="tx1"/>
            </w14:solidFill>
          </w14:textFill>
        </w:rPr>
      </w:pPr>
      <w:r>
        <w:rPr>
          <w:color w:val="000000" w:themeColor="text1"/>
          <w:sz w:val="24"/>
          <w:lang w:val="en-GB"/>
          <w14:textFill>
            <w14:solidFill>
              <w14:schemeClr w14:val="tx1"/>
            </w14:solidFill>
          </w14:textFill>
        </w:rPr>
        <w:t>Full Paper and the 2-page extended abstract should be electronically</w:t>
      </w:r>
      <w:r>
        <w:rPr>
          <w:color w:val="000000" w:themeColor="text1"/>
          <w:sz w:val="24"/>
          <w14:textFill>
            <w14:solidFill>
              <w14:schemeClr w14:val="tx1"/>
            </w14:solidFill>
          </w14:textFill>
        </w:rPr>
        <w:t xml:space="preserve"> submitted via the web page of the Conference by </w:t>
      </w:r>
      <w:r>
        <w:rPr>
          <w:b/>
          <w:color w:val="000000" w:themeColor="text1"/>
          <w:sz w:val="24"/>
          <w14:textFill>
            <w14:solidFill>
              <w14:schemeClr w14:val="tx1"/>
            </w14:solidFill>
          </w14:textFill>
        </w:rPr>
        <w:t>March 31, 20</w:t>
      </w:r>
      <w:r>
        <w:rPr>
          <w:rFonts w:hint="eastAsia"/>
          <w:b/>
          <w:color w:val="000000" w:themeColor="text1"/>
          <w:sz w:val="24"/>
          <w:lang w:eastAsia="zh-CN"/>
          <w14:textFill>
            <w14:solidFill>
              <w14:schemeClr w14:val="tx1"/>
            </w14:solidFill>
          </w14:textFill>
        </w:rPr>
        <w:t>2</w:t>
      </w:r>
      <w:r>
        <w:rPr>
          <w:b/>
          <w:color w:val="000000" w:themeColor="text1"/>
          <w:sz w:val="24"/>
          <w:lang w:eastAsia="zh-CN"/>
          <w14:textFill>
            <w14:solidFill>
              <w14:schemeClr w14:val="tx1"/>
            </w14:solidFill>
          </w14:textFill>
        </w:rPr>
        <w:t>3</w:t>
      </w:r>
      <w:r>
        <w:rPr>
          <w:color w:val="000000" w:themeColor="text1"/>
          <w:sz w:val="24"/>
          <w14:textFill>
            <w14:solidFill>
              <w14:schemeClr w14:val="tx1"/>
            </w14:solidFill>
          </w14:textFill>
        </w:rPr>
        <w:t>. Both submissions are mandatory.</w:t>
      </w:r>
      <w:r>
        <w:rPr>
          <w:color w:val="000000" w:themeColor="text1"/>
          <w:sz w:val="24"/>
          <w:lang w:val="en-GB"/>
          <w14:textFill>
            <w14:solidFill>
              <w14:schemeClr w14:val="tx1"/>
            </w14:solidFill>
          </w14:textFill>
        </w:rPr>
        <w:t xml:space="preserve"> The Full Paper and the extended abstract should be written following this template and macros for submission, or their equivalent in </w:t>
      </w:r>
      <w:r>
        <w:rPr>
          <w:i/>
          <w:color w:val="000000" w:themeColor="text1"/>
          <w:sz w:val="24"/>
          <w:lang w:val="en-GB"/>
          <w14:textFill>
            <w14:solidFill>
              <w14:schemeClr w14:val="tx1"/>
            </w14:solidFill>
          </w14:textFill>
        </w:rPr>
        <w:t>LaTeX</w:t>
      </w:r>
      <w:r>
        <w:rPr>
          <w:color w:val="000000" w:themeColor="text1"/>
          <w:sz w:val="24"/>
          <w:lang w:val="en-GB"/>
          <w14:textFill>
            <w14:solidFill>
              <w14:schemeClr w14:val="tx1"/>
            </w14:solidFill>
          </w14:textFill>
        </w:rPr>
        <w:t>. The files have to be translated into Portable Document Format (PDF) before submission via the Conference site.</w:t>
      </w:r>
    </w:p>
    <w:p>
      <w:pPr>
        <w:pStyle w:val="13"/>
        <w:numPr>
          <w:ilvl w:val="0"/>
          <w:numId w:val="3"/>
        </w:numP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The submitted Full Paper, as well as the extended abstract, will be reviewed by the Scientific Committee with the resulting feedback with the corresponding author. The organizers do not commit themselves to include in the Proceedings any Full Paper received later than the above-mentioned deadline. The corresponding author and/or the speaker is expected to register and pay his/her registration fee </w:t>
      </w:r>
      <w:r>
        <w:rPr>
          <w:color w:val="000000" w:themeColor="text1"/>
          <w:sz w:val="24"/>
          <w:szCs w:val="20"/>
          <w14:textFill>
            <w14:solidFill>
              <w14:schemeClr w14:val="tx1"/>
            </w14:solidFill>
          </w14:textFill>
        </w:rPr>
        <w:t xml:space="preserve">for the paper to be included in the technical program and proceedings of the Conference. Note the early-bird registration starts from </w:t>
      </w:r>
      <w:r>
        <w:rPr>
          <w:b/>
          <w:bCs/>
          <w:color w:val="000000" w:themeColor="text1"/>
          <w:sz w:val="24"/>
          <w:szCs w:val="20"/>
          <w14:textFill>
            <w14:solidFill>
              <w14:schemeClr w14:val="tx1"/>
            </w14:solidFill>
          </w14:textFill>
        </w:rPr>
        <w:t>January 1, 2023 to June 30, 2023</w:t>
      </w:r>
      <w:r>
        <w:rPr>
          <w:color w:val="000000" w:themeColor="text1"/>
          <w:sz w:val="24"/>
          <w:szCs w:val="20"/>
          <w14:textFill>
            <w14:solidFill>
              <w14:schemeClr w14:val="tx1"/>
            </w14:solidFill>
          </w14:textFill>
        </w:rPr>
        <w:t>, and reduced tariffs are offered for registration during this period.</w:t>
      </w:r>
    </w:p>
    <w:p>
      <w:pPr>
        <w:pStyle w:val="11"/>
        <w:ind w:left="708" w:hanging="708"/>
        <w:outlineLvl w:val="0"/>
        <w:rPr>
          <w:caps w:val="0"/>
          <w:color w:val="000000" w:themeColor="text1"/>
          <w:szCs w:val="20"/>
          <w14:textFill>
            <w14:solidFill>
              <w14:schemeClr w14:val="tx1"/>
            </w14:solidFill>
          </w14:textFill>
        </w:rPr>
      </w:pPr>
      <w:r>
        <w:rPr>
          <w:caps w:val="0"/>
          <w:color w:val="000000" w:themeColor="text1"/>
          <w:szCs w:val="20"/>
          <w14:textFill>
            <w14:solidFill>
              <w14:schemeClr w14:val="tx1"/>
            </w14:solidFill>
          </w14:textFill>
        </w:rPr>
        <w:t>Acknowledgements (optional)</w:t>
      </w:r>
    </w:p>
    <w:p>
      <w:pPr>
        <w:pStyle w:val="13"/>
        <w:ind w:firstLine="0"/>
        <w:rPr>
          <w:color w:val="000000" w:themeColor="text1"/>
          <w:szCs w:val="20"/>
          <w14:textFill>
            <w14:solidFill>
              <w14:schemeClr w14:val="tx1"/>
            </w14:solidFill>
          </w14:textFill>
        </w:rPr>
      </w:pPr>
      <w:r>
        <w:rPr>
          <w:color w:val="000000" w:themeColor="text1"/>
          <w:szCs w:val="20"/>
          <w14:textFill>
            <w14:solidFill>
              <w14:schemeClr w14:val="tx1"/>
            </w14:solidFill>
          </w14:textFill>
        </w:rPr>
        <w:t>An optional non-numbered Acknowledgements Section can be included after the concluding/discussing Section. Heading must be 10pt Times New Roman boldface letter, and the text must be 10pt Times New Roman standard.</w:t>
      </w:r>
    </w:p>
    <w:p>
      <w:pPr>
        <w:pStyle w:val="11"/>
        <w:ind w:left="708" w:hanging="708"/>
        <w:outlineLvl w:val="0"/>
        <w:rPr>
          <w:caps w:val="0"/>
          <w:color w:val="000000" w:themeColor="text1"/>
          <w:szCs w:val="20"/>
          <w:lang w:eastAsia="zh-CN"/>
          <w14:textFill>
            <w14:solidFill>
              <w14:schemeClr w14:val="tx1"/>
            </w14:solidFill>
          </w14:textFill>
        </w:rPr>
      </w:pPr>
      <w:r>
        <w:rPr>
          <w:caps w:val="0"/>
          <w:color w:val="000000" w:themeColor="text1"/>
          <w:szCs w:val="20"/>
          <w14:textFill>
            <w14:solidFill>
              <w14:schemeClr w14:val="tx1"/>
            </w14:solidFill>
          </w14:textFill>
        </w:rPr>
        <w:t>ORCID</w:t>
      </w:r>
      <w:r>
        <w:rPr>
          <w:rFonts w:hint="eastAsia"/>
          <w:caps w:val="0"/>
          <w:color w:val="000000" w:themeColor="text1"/>
          <w:szCs w:val="20"/>
          <w:lang w:eastAsia="zh-CN"/>
          <w14:textFill>
            <w14:solidFill>
              <w14:schemeClr w14:val="tx1"/>
            </w14:solidFill>
          </w14:textFill>
        </w:rPr>
        <w:t xml:space="preserve"> </w:t>
      </w:r>
      <w:r>
        <w:rPr>
          <w:caps w:val="0"/>
          <w:color w:val="000000" w:themeColor="text1"/>
          <w:szCs w:val="20"/>
          <w14:textFill>
            <w14:solidFill>
              <w14:schemeClr w14:val="tx1"/>
            </w14:solidFill>
          </w14:textFill>
        </w:rPr>
        <w:t>(optional)</w:t>
      </w:r>
    </w:p>
    <w:p>
      <w:pPr>
        <w:pStyle w:val="13"/>
        <w:ind w:firstLine="0"/>
        <w:rPr>
          <w:color w:val="000000" w:themeColor="text1"/>
          <w:szCs w:val="20"/>
          <w14:textFill>
            <w14:solidFill>
              <w14:schemeClr w14:val="tx1"/>
            </w14:solidFill>
          </w14:textFill>
        </w:rPr>
      </w:pPr>
      <w:r>
        <w:rPr>
          <w:rFonts w:hint="eastAsia"/>
          <w:color w:val="000000" w:themeColor="text1"/>
          <w:szCs w:val="20"/>
          <w:lang w:eastAsia="zh-CN"/>
          <w14:textFill>
            <w14:solidFill>
              <w14:schemeClr w14:val="tx1"/>
            </w14:solidFill>
          </w14:textFill>
        </w:rPr>
        <w:t>T</w:t>
      </w:r>
      <w:r>
        <w:rPr>
          <w:color w:val="000000" w:themeColor="text1"/>
          <w:szCs w:val="20"/>
          <w14:textFill>
            <w14:solidFill>
              <w14:schemeClr w14:val="tx1"/>
            </w14:solidFill>
          </w14:textFill>
        </w:rPr>
        <w:t xml:space="preserve">he authors’ ORCID </w:t>
      </w:r>
      <w:r>
        <w:rPr>
          <w:rFonts w:hint="eastAsia"/>
          <w:color w:val="000000" w:themeColor="text1"/>
          <w:szCs w:val="20"/>
          <w:lang w:eastAsia="zh-CN"/>
          <w14:textFill>
            <w14:solidFill>
              <w14:schemeClr w14:val="tx1"/>
            </w14:solidFill>
          </w14:textFill>
        </w:rPr>
        <w:t>can</w:t>
      </w:r>
      <w:r>
        <w:rPr>
          <w:color w:val="000000" w:themeColor="text1"/>
          <w:szCs w:val="20"/>
          <w14:textFill>
            <w14:solidFill>
              <w14:schemeClr w14:val="tx1"/>
            </w14:solidFill>
          </w14:textFill>
        </w:rPr>
        <w:t xml:space="preserve"> be provided, in 10pt Times New Roman, as in the example:</w:t>
      </w:r>
    </w:p>
    <w:p>
      <w:pPr>
        <w:autoSpaceDE w:val="0"/>
        <w:autoSpaceDN w:val="0"/>
        <w:adjustRightInd w:val="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Dongping</w:t>
      </w:r>
      <w:r>
        <w:rPr>
          <w:rFonts w:hint="eastAsia"/>
          <w:color w:val="000000" w:themeColor="text1"/>
          <w:sz w:val="20"/>
          <w:szCs w:val="20"/>
          <w:lang w:eastAsia="zh-CN"/>
          <w14:textFill>
            <w14:solidFill>
              <w14:schemeClr w14:val="tx1"/>
            </w14:solidFill>
          </w14:textFill>
        </w:rPr>
        <w:t xml:space="preserve"> </w:t>
      </w:r>
      <w:r>
        <w:rPr>
          <w:color w:val="000000" w:themeColor="text1"/>
          <w:sz w:val="20"/>
          <w:szCs w:val="20"/>
          <w:lang w:eastAsia="zh-CN"/>
          <w14:textFill>
            <w14:solidFill>
              <w14:schemeClr w14:val="tx1"/>
            </w14:solidFill>
          </w14:textFill>
        </w:rPr>
        <w:t>Fang</w:t>
      </w:r>
      <w:r>
        <w:rPr>
          <w:color w:val="000000" w:themeColor="text1"/>
          <w:sz w:val="20"/>
          <w:szCs w:val="20"/>
          <w14:textFill>
            <w14:solidFill>
              <w14:schemeClr w14:val="tx1"/>
            </w14:solidFill>
          </w14:textFill>
        </w:rPr>
        <w:t>: http://orcid.org/0000-0002-1971-9045</w:t>
      </w:r>
    </w:p>
    <w:p>
      <w:pPr>
        <w:pStyle w:val="13"/>
        <w:ind w:firstLine="0"/>
        <w:rPr>
          <w:color w:val="000000" w:themeColor="text1"/>
          <w:szCs w:val="20"/>
          <w:lang w:val="es-ES"/>
          <w14:textFill>
            <w14:solidFill>
              <w14:schemeClr w14:val="tx1"/>
            </w14:solidFill>
          </w14:textFill>
        </w:rPr>
      </w:pPr>
      <w:r>
        <w:rPr>
          <w:color w:val="000000" w:themeColor="text1"/>
          <w:szCs w:val="20"/>
          <w:lang w:val="es-ES"/>
          <w14:textFill>
            <w14:solidFill>
              <w14:schemeClr w14:val="tx1"/>
            </w14:solidFill>
          </w14:textFill>
        </w:rPr>
        <w:t>Nan Li: http://orcid.org/</w:t>
      </w:r>
      <w:r>
        <w:t xml:space="preserve"> </w:t>
      </w:r>
      <w:r>
        <w:rPr>
          <w:color w:val="000000" w:themeColor="text1"/>
          <w:szCs w:val="20"/>
          <w:lang w:val="es-ES"/>
          <w14:textFill>
            <w14:solidFill>
              <w14:schemeClr w14:val="tx1"/>
            </w14:solidFill>
          </w14:textFill>
        </w:rPr>
        <w:t>0000-0002-7272-4273</w:t>
      </w:r>
    </w:p>
    <w:p>
      <w:pPr>
        <w:pStyle w:val="13"/>
        <w:ind w:firstLine="0"/>
        <w:rPr>
          <w:color w:val="000000" w:themeColor="text1"/>
          <w:szCs w:val="20"/>
          <w14:textFill>
            <w14:solidFill>
              <w14:schemeClr w14:val="tx1"/>
            </w14:solidFill>
          </w14:textFill>
        </w:rPr>
      </w:pPr>
      <w:r>
        <w:rPr>
          <w:color w:val="000000" w:themeColor="text1"/>
          <w:szCs w:val="20"/>
          <w14:textFill>
            <w14:solidFill>
              <w14:schemeClr w14:val="tx1"/>
            </w14:solidFill>
          </w14:textFill>
        </w:rPr>
        <w:t>Junjie</w:t>
      </w:r>
      <w:r>
        <w:rPr>
          <w:rFonts w:hint="eastAsia"/>
          <w:color w:val="000000" w:themeColor="text1"/>
          <w:szCs w:val="20"/>
          <w:lang w:eastAsia="zh-CN"/>
          <w14:textFill>
            <w14:solidFill>
              <w14:schemeClr w14:val="tx1"/>
            </w14:solidFill>
          </w14:textFill>
        </w:rPr>
        <w:t xml:space="preserve"> </w:t>
      </w:r>
      <w:r>
        <w:rPr>
          <w:color w:val="000000" w:themeColor="text1"/>
          <w:szCs w:val="20"/>
          <w:lang w:eastAsia="zh-CN"/>
          <w14:textFill>
            <w14:solidFill>
              <w14:schemeClr w14:val="tx1"/>
            </w14:solidFill>
          </w14:textFill>
        </w:rPr>
        <w:t>Wang</w:t>
      </w:r>
      <w:r>
        <w:rPr>
          <w:color w:val="000000" w:themeColor="text1"/>
          <w:szCs w:val="20"/>
          <w14:textFill>
            <w14:solidFill>
              <w14:schemeClr w14:val="tx1"/>
            </w14:solidFill>
          </w14:textFill>
        </w:rPr>
        <w:t>: http://orcid.org/</w:t>
      </w:r>
      <w:r>
        <w:t>0000-0002-1148-777X</w:t>
      </w:r>
    </w:p>
    <w:p>
      <w:pPr>
        <w:pStyle w:val="11"/>
        <w:ind w:left="708" w:hanging="708"/>
        <w:outlineLvl w:val="0"/>
        <w:rPr>
          <w:caps w:val="0"/>
          <w:color w:val="000000" w:themeColor="text1"/>
          <w:szCs w:val="20"/>
          <w:lang w:val="es-ES"/>
          <w14:textFill>
            <w14:solidFill>
              <w14:schemeClr w14:val="tx1"/>
            </w14:solidFill>
          </w14:textFill>
        </w:rPr>
      </w:pPr>
      <w:r>
        <w:rPr>
          <w:caps w:val="0"/>
          <w:color w:val="000000" w:themeColor="text1"/>
          <w:szCs w:val="20"/>
          <w:lang w:val="es-ES"/>
          <w14:textFill>
            <w14:solidFill>
              <w14:schemeClr w14:val="tx1"/>
            </w14:solidFill>
          </w14:textFill>
        </w:rPr>
        <w:t>References</w:t>
      </w:r>
    </w:p>
    <w:p>
      <w:pPr>
        <w:pStyle w:val="26"/>
        <w:numPr>
          <w:ilvl w:val="0"/>
          <w:numId w:val="0"/>
        </w:numPr>
        <w:ind w:left="284" w:hanging="284"/>
        <w:rPr>
          <w:color w:val="auto"/>
          <w:sz w:val="20"/>
          <w:szCs w:val="20"/>
        </w:rPr>
      </w:pPr>
      <w:r>
        <w:rPr>
          <w:color w:val="auto"/>
          <w:sz w:val="20"/>
          <w:szCs w:val="20"/>
        </w:rPr>
        <w:t xml:space="preserve">ISO/TC 59/SC 14 (2008). </w:t>
      </w:r>
      <w:r>
        <w:rPr>
          <w:i/>
          <w:color w:val="auto"/>
          <w:sz w:val="20"/>
          <w:szCs w:val="20"/>
        </w:rPr>
        <w:t>ISO 15686-8: Buildings and constructed assets — Service-life planning — Part 8: Reference service life and service-life estimation</w:t>
      </w:r>
      <w:r>
        <w:rPr>
          <w:color w:val="auto"/>
          <w:sz w:val="20"/>
          <w:szCs w:val="20"/>
        </w:rPr>
        <w:t>.</w:t>
      </w:r>
    </w:p>
    <w:p>
      <w:pPr>
        <w:autoSpaceDE w:val="0"/>
        <w:autoSpaceDN w:val="0"/>
        <w:adjustRightInd w:val="0"/>
        <w:ind w:left="284" w:hanging="284"/>
        <w:rPr>
          <w:iCs/>
          <w:color w:val="000000"/>
          <w:sz w:val="20"/>
          <w:szCs w:val="20"/>
          <w:lang w:val="en-US" w:eastAsia="en-US"/>
        </w:rPr>
      </w:pPr>
      <w:r>
        <w:rPr>
          <w:rFonts w:hint="eastAsia"/>
          <w:iCs/>
          <w:color w:val="000000"/>
          <w:sz w:val="20"/>
          <w:szCs w:val="20"/>
          <w:lang w:val="en-US" w:eastAsia="zh-CN"/>
        </w:rPr>
        <w:t xml:space="preserve">Liu, B., </w:t>
      </w:r>
      <w:r>
        <w:rPr>
          <w:iCs/>
          <w:color w:val="000000"/>
          <w:sz w:val="20"/>
          <w:szCs w:val="20"/>
          <w:lang w:val="en-US" w:eastAsia="zh-CN"/>
        </w:rPr>
        <w:t>Wang, T</w:t>
      </w:r>
      <w:r>
        <w:rPr>
          <w:rFonts w:hint="eastAsia"/>
          <w:iCs/>
          <w:color w:val="000000"/>
          <w:sz w:val="20"/>
          <w:szCs w:val="20"/>
          <w:lang w:val="en-US" w:eastAsia="zh-CN"/>
        </w:rPr>
        <w:t xml:space="preserve">., </w:t>
      </w:r>
      <w:r>
        <w:rPr>
          <w:iCs/>
          <w:color w:val="000000"/>
          <w:sz w:val="20"/>
          <w:szCs w:val="20"/>
          <w:lang w:val="en-US" w:eastAsia="zh-CN"/>
        </w:rPr>
        <w:t>Zhang, J., Wang, X., Chang, Y., Fang, D., Yang, M.</w:t>
      </w:r>
      <w:r>
        <w:rPr>
          <w:rFonts w:hint="eastAsia"/>
          <w:iCs/>
          <w:color w:val="000000"/>
          <w:sz w:val="20"/>
          <w:szCs w:val="20"/>
          <w:lang w:val="en-US" w:eastAsia="zh-CN"/>
        </w:rPr>
        <w:t xml:space="preserve"> and</w:t>
      </w:r>
      <w:r>
        <w:rPr>
          <w:iCs/>
          <w:color w:val="000000"/>
          <w:sz w:val="20"/>
          <w:szCs w:val="20"/>
          <w:lang w:val="en-US" w:eastAsia="zh-CN"/>
        </w:rPr>
        <w:t xml:space="preserve"> Sun, X.</w:t>
      </w:r>
      <w:r>
        <w:rPr>
          <w:iCs/>
          <w:color w:val="000000"/>
          <w:sz w:val="20"/>
          <w:szCs w:val="20"/>
          <w:lang w:val="en-US" w:eastAsia="en-US"/>
        </w:rPr>
        <w:t>. (20</w:t>
      </w:r>
      <w:r>
        <w:rPr>
          <w:rFonts w:hint="eastAsia"/>
          <w:iCs/>
          <w:color w:val="000000"/>
          <w:sz w:val="20"/>
          <w:szCs w:val="20"/>
          <w:lang w:val="en-US" w:eastAsia="zh-CN"/>
        </w:rPr>
        <w:t>21</w:t>
      </w:r>
      <w:r>
        <w:rPr>
          <w:iCs/>
          <w:color w:val="000000"/>
          <w:sz w:val="20"/>
          <w:szCs w:val="20"/>
          <w:lang w:val="en-US" w:eastAsia="en-US"/>
        </w:rPr>
        <w:t xml:space="preserve">). </w:t>
      </w:r>
      <w:r>
        <w:rPr>
          <w:i/>
          <w:iCs/>
          <w:color w:val="000000"/>
          <w:sz w:val="20"/>
          <w:szCs w:val="20"/>
          <w:lang w:val="en-US" w:eastAsia="en-US"/>
        </w:rPr>
        <w:t>Sustained sustainable development actions of China from 1986 to 2020</w:t>
      </w:r>
      <w:r>
        <w:rPr>
          <w:iCs/>
          <w:color w:val="000000"/>
          <w:sz w:val="20"/>
          <w:szCs w:val="20"/>
          <w:lang w:val="en-US" w:eastAsia="en-US"/>
        </w:rPr>
        <w:t>. Scientific Reports</w:t>
      </w:r>
      <w:r>
        <w:rPr>
          <w:rFonts w:hint="eastAsia"/>
          <w:iCs/>
          <w:color w:val="000000"/>
          <w:sz w:val="20"/>
          <w:szCs w:val="20"/>
          <w:lang w:val="en-US" w:eastAsia="zh-CN"/>
        </w:rPr>
        <w:t xml:space="preserve">, 11(1), </w:t>
      </w:r>
      <w:r>
        <w:rPr>
          <w:iCs/>
          <w:color w:val="000000"/>
          <w:sz w:val="20"/>
          <w:szCs w:val="20"/>
          <w:lang w:val="en-US" w:eastAsia="zh-CN"/>
        </w:rPr>
        <w:t>8008</w:t>
      </w:r>
      <w:r>
        <w:rPr>
          <w:iCs/>
          <w:color w:val="000000"/>
          <w:sz w:val="20"/>
          <w:szCs w:val="20"/>
          <w:lang w:val="en-US" w:eastAsia="en-US"/>
        </w:rPr>
        <w:t>.</w:t>
      </w:r>
    </w:p>
    <w:p>
      <w:pPr>
        <w:pStyle w:val="26"/>
        <w:numPr>
          <w:ilvl w:val="0"/>
          <w:numId w:val="0"/>
        </w:numPr>
        <w:ind w:left="284" w:hanging="284"/>
        <w:rPr>
          <w:rFonts w:ascii="Times New Roman" w:hAnsi="Times New Roman"/>
          <w:sz w:val="20"/>
          <w:szCs w:val="20"/>
          <w:lang w:val="en-US" w:eastAsia="zh-CN"/>
        </w:rPr>
      </w:pPr>
      <w:r>
        <w:rPr>
          <w:rFonts w:ascii="Times New Roman" w:hAnsi="Times New Roman"/>
          <w:sz w:val="20"/>
          <w:szCs w:val="20"/>
          <w:lang w:val="en-US"/>
        </w:rPr>
        <w:t>Magoua, J.J., Wang, F. and Li, N. (20</w:t>
      </w:r>
      <w:r>
        <w:rPr>
          <w:rFonts w:hint="eastAsia" w:ascii="Times New Roman" w:hAnsi="Times New Roman"/>
          <w:sz w:val="20"/>
          <w:szCs w:val="20"/>
          <w:lang w:val="en-US" w:eastAsia="zh-CN"/>
        </w:rPr>
        <w:t>22</w:t>
      </w:r>
      <w:r>
        <w:rPr>
          <w:rFonts w:ascii="Times New Roman" w:hAnsi="Times New Roman"/>
          <w:sz w:val="20"/>
          <w:szCs w:val="20"/>
          <w:lang w:val="en-US"/>
        </w:rPr>
        <w:t xml:space="preserve">). </w:t>
      </w:r>
      <w:r>
        <w:rPr>
          <w:rFonts w:ascii="Times New Roman" w:hAnsi="Times New Roman"/>
          <w:i/>
          <w:sz w:val="20"/>
          <w:szCs w:val="20"/>
          <w:lang w:val="en-US"/>
        </w:rPr>
        <w:t>High level architecture-based framework for modeling interdependent critical infrastructure systems</w:t>
      </w:r>
      <w:r>
        <w:rPr>
          <w:rFonts w:ascii="Times New Roman" w:hAnsi="Times New Roman"/>
          <w:sz w:val="20"/>
          <w:szCs w:val="20"/>
          <w:lang w:val="en-US"/>
        </w:rPr>
        <w:t>, Simulation Modelling Practice and Theory</w:t>
      </w:r>
      <w:r>
        <w:rPr>
          <w:rFonts w:hint="eastAsia" w:ascii="Times New Roman" w:hAnsi="Times New Roman"/>
          <w:sz w:val="20"/>
          <w:szCs w:val="20"/>
          <w:lang w:val="en-US" w:eastAsia="zh-CN"/>
        </w:rPr>
        <w:t xml:space="preserve">, 118, </w:t>
      </w:r>
      <w:r>
        <w:rPr>
          <w:rFonts w:ascii="Times New Roman" w:hAnsi="Times New Roman"/>
          <w:sz w:val="20"/>
          <w:szCs w:val="20"/>
          <w:lang w:val="en-US" w:eastAsia="zh-CN"/>
        </w:rPr>
        <w:t>102529</w:t>
      </w:r>
      <w:r>
        <w:rPr>
          <w:rFonts w:hint="eastAsia" w:ascii="Times New Roman" w:hAnsi="Times New Roman"/>
          <w:sz w:val="20"/>
          <w:szCs w:val="20"/>
          <w:lang w:val="en-US" w:eastAsia="zh-CN"/>
        </w:rPr>
        <w:t>.</w:t>
      </w:r>
    </w:p>
    <w:p>
      <w:pPr>
        <w:pStyle w:val="21"/>
        <w:tabs>
          <w:tab w:val="clear" w:pos="426"/>
        </w:tabs>
        <w:jc w:val="both"/>
        <w:rPr>
          <w:color w:val="000000" w:themeColor="text1"/>
          <w:szCs w:val="20"/>
          <w:lang w:val="en-GB" w:eastAsia="zh-CN"/>
          <w14:textFill>
            <w14:solidFill>
              <w14:schemeClr w14:val="tx1"/>
            </w14:solidFill>
          </w14:textFill>
        </w:rPr>
      </w:pPr>
      <w:r>
        <w:rPr>
          <w:color w:val="000000" w:themeColor="text1"/>
          <w:szCs w:val="20"/>
          <w:lang w:val="en-GB" w:eastAsia="zh-CN"/>
          <w14:textFill>
            <w14:solidFill>
              <w14:schemeClr w14:val="tx1"/>
            </w14:solidFill>
          </w14:textFill>
        </w:rPr>
        <w:t>Wang,</w:t>
      </w:r>
      <w:r>
        <w:rPr>
          <w:rFonts w:hint="eastAsia"/>
          <w:color w:val="000000" w:themeColor="text1"/>
          <w:szCs w:val="20"/>
          <w:lang w:val="en-GB" w:eastAsia="zh-CN"/>
          <w14:textFill>
            <w14:solidFill>
              <w14:schemeClr w14:val="tx1"/>
            </w14:solidFill>
          </w14:textFill>
        </w:rPr>
        <w:t xml:space="preserve"> </w:t>
      </w:r>
      <w:r>
        <w:rPr>
          <w:color w:val="000000" w:themeColor="text1"/>
          <w:szCs w:val="20"/>
          <w:lang w:val="en-GB" w:eastAsia="zh-CN"/>
          <w14:textFill>
            <w14:solidFill>
              <w14:schemeClr w14:val="tx1"/>
            </w14:solidFill>
          </w14:textFill>
        </w:rPr>
        <w:t>J.</w:t>
      </w:r>
      <w:r>
        <w:rPr>
          <w:rFonts w:hint="eastAsia"/>
          <w:color w:val="000000" w:themeColor="text1"/>
          <w:szCs w:val="20"/>
          <w:lang w:val="en-GB" w:eastAsia="zh-CN"/>
          <w14:textFill>
            <w14:solidFill>
              <w14:schemeClr w14:val="tx1"/>
            </w14:solidFill>
          </w14:textFill>
        </w:rPr>
        <w:t xml:space="preserve"> and</w:t>
      </w:r>
      <w:r>
        <w:rPr>
          <w:color w:val="000000" w:themeColor="text1"/>
          <w:szCs w:val="20"/>
          <w:lang w:val="en-GB" w:eastAsia="zh-CN"/>
          <w14:textFill>
            <w14:solidFill>
              <w14:schemeClr w14:val="tx1"/>
            </w14:solidFill>
          </w14:textFill>
        </w:rPr>
        <w:t xml:space="preserve"> Liu</w:t>
      </w:r>
      <w:r>
        <w:rPr>
          <w:rFonts w:hint="eastAsia"/>
          <w:color w:val="000000" w:themeColor="text1"/>
          <w:szCs w:val="20"/>
          <w:lang w:val="en-GB" w:eastAsia="zh-CN"/>
          <w14:textFill>
            <w14:solidFill>
              <w14:schemeClr w14:val="tx1"/>
            </w14:solidFill>
          </w14:textFill>
        </w:rPr>
        <w:t>,</w:t>
      </w:r>
      <w:r>
        <w:rPr>
          <w:color w:val="000000" w:themeColor="text1"/>
          <w:szCs w:val="20"/>
          <w:lang w:val="en-GB" w:eastAsia="zh-CN"/>
          <w14:textFill>
            <w14:solidFill>
              <w14:schemeClr w14:val="tx1"/>
            </w14:solidFill>
          </w14:textFill>
        </w:rPr>
        <w:t xml:space="preserve"> E.</w:t>
      </w:r>
      <w:r>
        <w:rPr>
          <w:rFonts w:hint="eastAsia"/>
          <w:color w:val="000000" w:themeColor="text1"/>
          <w:szCs w:val="20"/>
          <w:lang w:val="en-GB" w:eastAsia="zh-CN"/>
          <w14:textFill>
            <w14:solidFill>
              <w14:schemeClr w14:val="tx1"/>
            </w14:solidFill>
          </w14:textFill>
        </w:rPr>
        <w:t xml:space="preserve"> (2019).</w:t>
      </w:r>
      <w:r>
        <w:rPr>
          <w:color w:val="000000" w:themeColor="text1"/>
          <w:szCs w:val="20"/>
          <w:lang w:val="en-GB" w:eastAsia="zh-CN"/>
          <w14:textFill>
            <w14:solidFill>
              <w14:schemeClr w14:val="tx1"/>
            </w14:solidFill>
          </w14:textFill>
        </w:rPr>
        <w:t xml:space="preserve"> </w:t>
      </w:r>
      <w:r>
        <w:rPr>
          <w:i/>
          <w:color w:val="000000" w:themeColor="text1"/>
          <w:szCs w:val="20"/>
          <w:lang w:val="en-GB" w:eastAsia="zh-CN"/>
          <w14:textFill>
            <w14:solidFill>
              <w14:schemeClr w14:val="tx1"/>
            </w14:solidFill>
          </w14:textFill>
        </w:rPr>
        <w:t>Additions of different calcium carbonate minerals in cement to increase material greenness</w:t>
      </w:r>
      <w:r>
        <w:rPr>
          <w:color w:val="000000" w:themeColor="text1"/>
          <w:szCs w:val="20"/>
          <w:lang w:val="en-GB" w:eastAsia="zh-CN"/>
          <w14:textFill>
            <w14:solidFill>
              <w14:schemeClr w14:val="tx1"/>
            </w14:solidFill>
          </w14:textFill>
        </w:rPr>
        <w:t>. Proceedings of the 1st International Conference on Innovation in Low-Carbon Cement &amp; Concrete Technology ILCCC2019, 24-26 June 2019, London, UK.</w:t>
      </w:r>
    </w:p>
    <w:p>
      <w:pPr>
        <w:pStyle w:val="21"/>
        <w:tabs>
          <w:tab w:val="clear" w:pos="426"/>
        </w:tabs>
        <w:jc w:val="both"/>
        <w:rPr>
          <w:color w:val="000000" w:themeColor="text1"/>
          <w:szCs w:val="20"/>
          <w:lang w:eastAsia="zh-CN"/>
          <w14:textFill>
            <w14:solidFill>
              <w14:schemeClr w14:val="tx1"/>
            </w14:solidFill>
          </w14:textFill>
        </w:rPr>
      </w:pPr>
      <w:r>
        <w:rPr>
          <w:color w:val="000000" w:themeColor="text1"/>
          <w:szCs w:val="20"/>
          <w14:textFill>
            <w14:solidFill>
              <w14:schemeClr w14:val="tx1"/>
            </w14:solidFill>
          </w14:textFill>
        </w:rPr>
        <w:t>Xu,</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L.</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Wang,</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J.</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Li,</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K.</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Lin,</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S.</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Li,</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M.</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Hao,</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T.</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Ling,</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Z.</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Xiang,</w:t>
      </w:r>
      <w:r>
        <w:rPr>
          <w:rFonts w:hint="eastAsia"/>
          <w:color w:val="000000" w:themeColor="text1"/>
          <w:szCs w:val="20"/>
          <w:lang w:eastAsia="zh-CN"/>
          <w14:textFill>
            <w14:solidFill>
              <w14:schemeClr w14:val="tx1"/>
            </w14:solidFill>
          </w14:textFill>
        </w:rPr>
        <w:t xml:space="preserve"> </w:t>
      </w:r>
      <w:r>
        <w:rPr>
          <w:color w:val="000000" w:themeColor="text1"/>
          <w:szCs w:val="20"/>
          <w14:textFill>
            <w14:solidFill>
              <w14:schemeClr w14:val="tx1"/>
            </w14:solidFill>
          </w14:textFill>
        </w:rPr>
        <w:t>D.</w:t>
      </w:r>
      <w:r>
        <w:rPr>
          <w:rFonts w:hint="eastAsia"/>
          <w:color w:val="000000" w:themeColor="text1"/>
          <w:szCs w:val="20"/>
          <w:lang w:eastAsia="zh-CN"/>
          <w14:textFill>
            <w14:solidFill>
              <w14:schemeClr w14:val="tx1"/>
            </w14:solidFill>
          </w14:textFill>
        </w:rPr>
        <w:t xml:space="preserve"> and</w:t>
      </w:r>
      <w:r>
        <w:rPr>
          <w:color w:val="000000" w:themeColor="text1"/>
          <w:szCs w:val="20"/>
          <w14:textFill>
            <w14:solidFill>
              <w14:schemeClr w14:val="tx1"/>
            </w14:solidFill>
          </w14:textFill>
        </w:rPr>
        <w:t xml:space="preserve"> Wang</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T. </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2022</w:t>
      </w:r>
      <w:r>
        <w:rPr>
          <w:rFonts w:hint="eastAsia"/>
          <w:color w:val="000000" w:themeColor="text1"/>
          <w:szCs w:val="20"/>
          <w:lang w:eastAsia="zh-CN"/>
          <w14:textFill>
            <w14:solidFill>
              <w14:schemeClr w14:val="tx1"/>
            </w14:solidFill>
          </w14:textFill>
        </w:rPr>
        <w:t>)</w:t>
      </w:r>
      <w:r>
        <w:rPr>
          <w:color w:val="000000" w:themeColor="text1"/>
          <w:szCs w:val="20"/>
          <w14:textFill>
            <w14:solidFill>
              <w14:schemeClr w14:val="tx1"/>
            </w14:solidFill>
          </w14:textFill>
        </w:rPr>
        <w:t xml:space="preserve">. </w:t>
      </w:r>
      <w:r>
        <w:rPr>
          <w:i/>
          <w:color w:val="000000" w:themeColor="text1"/>
          <w:szCs w:val="20"/>
          <w14:textFill>
            <w14:solidFill>
              <w14:schemeClr w14:val="tx1"/>
            </w14:solidFill>
          </w14:textFill>
        </w:rPr>
        <w:t>A systematic review of factors affecting properties of thermal-activated recycled cement</w:t>
      </w:r>
      <w:r>
        <w:rPr>
          <w:color w:val="000000" w:themeColor="text1"/>
          <w:szCs w:val="20"/>
          <w14:textFill>
            <w14:solidFill>
              <w14:schemeClr w14:val="tx1"/>
            </w14:solidFill>
          </w14:textFill>
        </w:rPr>
        <w:t>. Resources, Conservation &amp; Recycling, 185, 106432</w:t>
      </w:r>
      <w:r>
        <w:rPr>
          <w:rFonts w:hint="eastAsia"/>
          <w:color w:val="000000" w:themeColor="text1"/>
          <w:szCs w:val="20"/>
          <w:lang w:eastAsia="zh-CN"/>
          <w14:textFill>
            <w14:solidFill>
              <w14:schemeClr w14:val="tx1"/>
            </w14:solidFill>
          </w14:textFill>
        </w:rPr>
        <w:t>.</w:t>
      </w:r>
    </w:p>
    <w:p>
      <w:pPr>
        <w:pStyle w:val="26"/>
        <w:numPr>
          <w:ilvl w:val="0"/>
          <w:numId w:val="0"/>
        </w:numPr>
        <w:ind w:left="284" w:hanging="284"/>
        <w:rPr>
          <w:rFonts w:ascii="Times New Roman" w:hAnsi="Times New Roman"/>
          <w:sz w:val="20"/>
          <w:szCs w:val="20"/>
          <w:lang w:val="es-ES"/>
        </w:rPr>
      </w:pPr>
      <w:r>
        <w:rPr>
          <w:rFonts w:hint="eastAsia" w:ascii="Times New Roman" w:hAnsi="Times New Roman"/>
          <w:sz w:val="20"/>
          <w:szCs w:val="20"/>
          <w:lang w:val="es-ES" w:eastAsia="zh-CN"/>
        </w:rPr>
        <w:t>Zeng</w:t>
      </w:r>
      <w:r>
        <w:rPr>
          <w:rFonts w:ascii="Times New Roman" w:hAnsi="Times New Roman"/>
          <w:sz w:val="20"/>
          <w:szCs w:val="20"/>
          <w:lang w:val="es-ES"/>
        </w:rPr>
        <w:t xml:space="preserve">, </w:t>
      </w:r>
      <w:r>
        <w:rPr>
          <w:rFonts w:hint="eastAsia" w:ascii="Times New Roman" w:hAnsi="Times New Roman"/>
          <w:sz w:val="20"/>
          <w:szCs w:val="20"/>
          <w:lang w:val="es-ES" w:eastAsia="zh-CN"/>
        </w:rPr>
        <w:t>Q</w:t>
      </w:r>
      <w:r>
        <w:rPr>
          <w:rFonts w:ascii="Times New Roman" w:hAnsi="Times New Roman"/>
          <w:sz w:val="20"/>
          <w:szCs w:val="20"/>
          <w:lang w:val="es-ES"/>
        </w:rPr>
        <w:t>.</w:t>
      </w:r>
      <w:r>
        <w:rPr>
          <w:rFonts w:hint="eastAsia" w:ascii="Times New Roman" w:hAnsi="Times New Roman"/>
          <w:sz w:val="20"/>
          <w:szCs w:val="20"/>
          <w:lang w:val="es-ES" w:eastAsia="zh-CN"/>
        </w:rPr>
        <w:t>, Pan, X. and Li, K.</w:t>
      </w:r>
      <w:r>
        <w:rPr>
          <w:rFonts w:ascii="Times New Roman" w:hAnsi="Times New Roman"/>
          <w:sz w:val="20"/>
          <w:szCs w:val="20"/>
          <w:lang w:val="es-ES"/>
        </w:rPr>
        <w:t xml:space="preserve"> (20</w:t>
      </w:r>
      <w:r>
        <w:rPr>
          <w:rFonts w:hint="eastAsia" w:ascii="Times New Roman" w:hAnsi="Times New Roman"/>
          <w:sz w:val="20"/>
          <w:szCs w:val="20"/>
          <w:lang w:val="es-ES" w:eastAsia="zh-CN"/>
        </w:rPr>
        <w:t>22</w:t>
      </w:r>
      <w:r>
        <w:rPr>
          <w:rFonts w:ascii="Times New Roman" w:hAnsi="Times New Roman"/>
          <w:sz w:val="20"/>
          <w:szCs w:val="20"/>
          <w:lang w:val="es-ES"/>
        </w:rPr>
        <w:t xml:space="preserve">). </w:t>
      </w:r>
      <w:r>
        <w:rPr>
          <w:rFonts w:ascii="Times New Roman" w:hAnsi="Times New Roman"/>
          <w:i/>
          <w:sz w:val="20"/>
          <w:szCs w:val="20"/>
          <w:lang w:val="es-ES"/>
        </w:rPr>
        <w:t>Kinetics of low radioactive wastewater imbibition and radionuclides sorption in partially saturated ternary-binder mortar</w:t>
      </w:r>
      <w:r>
        <w:rPr>
          <w:rFonts w:ascii="Times New Roman" w:hAnsi="Times New Roman"/>
          <w:sz w:val="20"/>
          <w:szCs w:val="20"/>
          <w:lang w:val="es-ES"/>
        </w:rPr>
        <w:t>, Journal of Hazardous Material</w:t>
      </w:r>
      <w:r>
        <w:rPr>
          <w:rFonts w:hint="eastAsia" w:ascii="Times New Roman" w:hAnsi="Times New Roman"/>
          <w:sz w:val="20"/>
          <w:szCs w:val="20"/>
          <w:lang w:val="es-ES" w:eastAsia="zh-CN"/>
        </w:rPr>
        <w:t xml:space="preserve">, 422, </w:t>
      </w:r>
      <w:r>
        <w:rPr>
          <w:rFonts w:ascii="Times New Roman" w:hAnsi="Times New Roman"/>
          <w:sz w:val="20"/>
          <w:szCs w:val="20"/>
          <w:lang w:val="es-ES" w:eastAsia="zh-CN"/>
        </w:rPr>
        <w:t>126897</w:t>
      </w:r>
      <w:r>
        <w:rPr>
          <w:rFonts w:ascii="Times New Roman" w:hAnsi="Times New Roman"/>
          <w:sz w:val="20"/>
          <w:szCs w:val="20"/>
          <w:lang w:val="es-ES"/>
        </w:rPr>
        <w:t>.</w:t>
      </w:r>
    </w:p>
    <w:sectPr>
      <w:headerReference r:id="rId4" w:type="first"/>
      <w:headerReference r:id="rId3" w:type="default"/>
      <w:footerReference r:id="rId5" w:type="default"/>
      <w:footerReference r:id="rId6" w:type="even"/>
      <w:pgSz w:w="11907" w:h="16840"/>
      <w:pgMar w:top="1871" w:right="1418" w:bottom="2495" w:left="1418" w:header="1134" w:footer="1134" w:gutter="0"/>
      <w:cols w:space="709"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First A. Coauthor, Second B. Coauthor and Third C. Coauthor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color w:val="000000" w:themeColor="text1"/>
        <w14:textFill>
          <w14:solidFill>
            <w14:schemeClr w14:val="tx1"/>
          </w14:solidFill>
        </w14:textFill>
      </w:rPr>
    </w:pPr>
    <w:r>
      <w:rPr>
        <w:color w:val="000000" w:themeColor="text1"/>
        <w14:textFill>
          <w14:solidFill>
            <w14:schemeClr w14:val="tx1"/>
          </w14:solidFill>
        </w14:textFill>
      </w:rPr>
      <w:t>XV</w:t>
    </w:r>
    <w:r>
      <w:rPr>
        <w:rFonts w:hint="eastAsia"/>
        <w:color w:val="000000" w:themeColor="text1"/>
        <w:lang w:eastAsia="zh-CN"/>
        <w14:textFill>
          <w14:solidFill>
            <w14:schemeClr w14:val="tx1"/>
          </w14:solidFill>
        </w14:textFill>
      </w:rPr>
      <w:t>I</w:t>
    </w:r>
    <w:r>
      <w:rPr>
        <w:color w:val="000000" w:themeColor="text1"/>
        <w14:textFill>
          <w14:solidFill>
            <w14:schemeClr w14:val="tx1"/>
          </w14:solidFill>
        </w14:textFill>
      </w:rPr>
      <w:t xml:space="preserve"> International Conference on Durability of Building Materials and Components</w:t>
    </w:r>
  </w:p>
  <w:p>
    <w:pPr>
      <w:pStyle w:val="18"/>
      <w:rPr>
        <w:color w:val="000000" w:themeColor="text1"/>
        <w:lang w:eastAsia="zh-CN"/>
        <w14:textFill>
          <w14:solidFill>
            <w14:schemeClr w14:val="tx1"/>
          </w14:solidFill>
        </w14:textFill>
      </w:rPr>
    </w:pPr>
    <w:r>
      <w:rPr>
        <w:color w:val="000000" w:themeColor="text1"/>
        <w14:textFill>
          <w14:solidFill>
            <w14:schemeClr w14:val="tx1"/>
          </w14:solidFill>
        </w14:textFill>
      </w:rPr>
      <w:t>DBMC 202</w:t>
    </w:r>
    <w:r>
      <w:rPr>
        <w:rFonts w:hint="eastAsia"/>
        <w:color w:val="000000" w:themeColor="text1"/>
        <w:lang w:eastAsia="zh-CN"/>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China</w:t>
    </w:r>
  </w:p>
  <w:p>
    <w:pPr>
      <w:pStyle w:val="18"/>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K</w:t>
    </w:r>
    <w:r>
      <w:rPr>
        <w:color w:val="000000" w:themeColor="text1"/>
        <w:lang w:eastAsia="zh-CN"/>
        <w14:textFill>
          <w14:solidFill>
            <w14:schemeClr w14:val="tx1"/>
          </w14:solidFill>
        </w14:textFill>
      </w:rPr>
      <w:t>.F.</w:t>
    </w:r>
    <w:r>
      <w:rPr>
        <w:rFonts w:hint="eastAsia"/>
        <w:color w:val="000000" w:themeColor="text1"/>
        <w:lang w:eastAsia="zh-CN"/>
        <w14:textFill>
          <w14:solidFill>
            <w14:schemeClr w14:val="tx1"/>
          </w14:solidFill>
        </w14:textFill>
      </w:rPr>
      <w:t xml:space="preserve"> Li</w:t>
    </w:r>
    <w:r>
      <w:rPr>
        <w:color w:val="000000" w:themeColor="text1"/>
        <w14:textFill>
          <w14:solidFill>
            <w14:schemeClr w14:val="tx1"/>
          </w14:solidFill>
        </w14:textFill>
      </w:rPr>
      <w:t xml:space="preserve"> and </w:t>
    </w:r>
    <w:r>
      <w:rPr>
        <w:rFonts w:hint="eastAsia"/>
        <w:color w:val="000000" w:themeColor="text1"/>
        <w:lang w:eastAsia="zh-CN"/>
        <w14:textFill>
          <w14:solidFill>
            <w14:schemeClr w14:val="tx1"/>
          </w14:solidFill>
        </w14:textFill>
      </w:rPr>
      <w:t>D</w:t>
    </w:r>
    <w:r>
      <w:rPr>
        <w:color w:val="000000" w:themeColor="text1"/>
        <w:lang w:eastAsia="zh-CN"/>
        <w14:textFill>
          <w14:solidFill>
            <w14:schemeClr w14:val="tx1"/>
          </w14:solidFill>
        </w14:textFill>
      </w:rPr>
      <w:t>.P.</w:t>
    </w:r>
    <w:r>
      <w:rPr>
        <w:rFonts w:hint="eastAsia"/>
        <w:color w:val="000000" w:themeColor="text1"/>
        <w:lang w:eastAsia="zh-CN"/>
        <w14:textFill>
          <w14:solidFill>
            <w14:schemeClr w14:val="tx1"/>
          </w14:solidFill>
        </w14:textFill>
      </w:rPr>
      <w:t xml:space="preserve"> Fang</w:t>
    </w:r>
    <w:r>
      <w:rPr>
        <w:color w:val="000000" w:themeColor="text1"/>
        <w14:textFill>
          <w14:solidFill>
            <w14:schemeClr w14:val="tx1"/>
          </w14:solidFill>
        </w14:textFill>
      </w:rPr>
      <w:t xml:space="preserve"> (Eds)</w:t>
    </w:r>
  </w:p>
  <w:p>
    <w:pPr>
      <w:pStyle w:val="18"/>
      <w:jc w:val="center"/>
    </w:pPr>
  </w:p>
  <w:p>
    <w:pPr>
      <w:pStyle w:val="18"/>
    </w:pPr>
  </w:p>
  <w:p>
    <w:pPr>
      <w:pStyle w:val="4"/>
      <w:jc w:val="right"/>
      <w:rPr>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A657A"/>
    <w:multiLevelType w:val="multilevel"/>
    <w:tmpl w:val="078A657A"/>
    <w:lvl w:ilvl="0" w:tentative="0">
      <w:start w:val="1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D332E7"/>
    <w:multiLevelType w:val="multilevel"/>
    <w:tmpl w:val="0CD332E7"/>
    <w:lvl w:ilvl="0" w:tentative="0">
      <w:start w:val="1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D9556E6"/>
    <w:multiLevelType w:val="multilevel"/>
    <w:tmpl w:val="5D9556E6"/>
    <w:lvl w:ilvl="0" w:tentative="0">
      <w:start w:val="1"/>
      <w:numFmt w:val="decimal"/>
      <w:pStyle w:val="26"/>
      <w:lvlText w:val="[%1]"/>
      <w:lvlJc w:val="left"/>
      <w:pPr>
        <w:tabs>
          <w:tab w:val="left" w:pos="142"/>
        </w:tabs>
        <w:ind w:left="142"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iYTkwOGE4YmY0M2I5ZTliMTYwZTRmYTZkZjE3MDIifQ=="/>
  </w:docVars>
  <w:rsids>
    <w:rsidRoot w:val="00A01CC4"/>
    <w:rsid w:val="00000EDF"/>
    <w:rsid w:val="000214C8"/>
    <w:rsid w:val="000350D8"/>
    <w:rsid w:val="0004158D"/>
    <w:rsid w:val="00044C53"/>
    <w:rsid w:val="00054806"/>
    <w:rsid w:val="0006692D"/>
    <w:rsid w:val="00066B3C"/>
    <w:rsid w:val="0007241A"/>
    <w:rsid w:val="00073220"/>
    <w:rsid w:val="000829DA"/>
    <w:rsid w:val="00083FE8"/>
    <w:rsid w:val="00085A83"/>
    <w:rsid w:val="000B0777"/>
    <w:rsid w:val="000B269E"/>
    <w:rsid w:val="00135329"/>
    <w:rsid w:val="00146655"/>
    <w:rsid w:val="001601A5"/>
    <w:rsid w:val="00164AEF"/>
    <w:rsid w:val="001715F0"/>
    <w:rsid w:val="001746AD"/>
    <w:rsid w:val="001769EF"/>
    <w:rsid w:val="00177549"/>
    <w:rsid w:val="00181198"/>
    <w:rsid w:val="00182C90"/>
    <w:rsid w:val="001B0971"/>
    <w:rsid w:val="00200C5C"/>
    <w:rsid w:val="002104BC"/>
    <w:rsid w:val="00223AD6"/>
    <w:rsid w:val="00240CFD"/>
    <w:rsid w:val="00247B92"/>
    <w:rsid w:val="002512A3"/>
    <w:rsid w:val="00264977"/>
    <w:rsid w:val="00285911"/>
    <w:rsid w:val="00297092"/>
    <w:rsid w:val="002F1027"/>
    <w:rsid w:val="002F4FFC"/>
    <w:rsid w:val="002F70F3"/>
    <w:rsid w:val="003035CB"/>
    <w:rsid w:val="00331399"/>
    <w:rsid w:val="00332B2F"/>
    <w:rsid w:val="0035525C"/>
    <w:rsid w:val="00355FF9"/>
    <w:rsid w:val="003853AB"/>
    <w:rsid w:val="0038558C"/>
    <w:rsid w:val="003D052E"/>
    <w:rsid w:val="003D1926"/>
    <w:rsid w:val="0041440B"/>
    <w:rsid w:val="0042149B"/>
    <w:rsid w:val="00422106"/>
    <w:rsid w:val="004235FD"/>
    <w:rsid w:val="00456EF9"/>
    <w:rsid w:val="004728D5"/>
    <w:rsid w:val="00484BCF"/>
    <w:rsid w:val="004C01A7"/>
    <w:rsid w:val="004C4AC9"/>
    <w:rsid w:val="004E3C58"/>
    <w:rsid w:val="0050536D"/>
    <w:rsid w:val="00517480"/>
    <w:rsid w:val="00522312"/>
    <w:rsid w:val="005263CA"/>
    <w:rsid w:val="00535ADD"/>
    <w:rsid w:val="00545BF7"/>
    <w:rsid w:val="005503F5"/>
    <w:rsid w:val="005645D2"/>
    <w:rsid w:val="00582B99"/>
    <w:rsid w:val="005E0627"/>
    <w:rsid w:val="00623C94"/>
    <w:rsid w:val="00630375"/>
    <w:rsid w:val="00654168"/>
    <w:rsid w:val="006624CF"/>
    <w:rsid w:val="006851FE"/>
    <w:rsid w:val="006A43D7"/>
    <w:rsid w:val="006C0675"/>
    <w:rsid w:val="007000BC"/>
    <w:rsid w:val="00702421"/>
    <w:rsid w:val="00722694"/>
    <w:rsid w:val="00725FD1"/>
    <w:rsid w:val="00744B36"/>
    <w:rsid w:val="00755278"/>
    <w:rsid w:val="00773707"/>
    <w:rsid w:val="007A1D20"/>
    <w:rsid w:val="007A455F"/>
    <w:rsid w:val="007A53AF"/>
    <w:rsid w:val="007B29D1"/>
    <w:rsid w:val="007C6E58"/>
    <w:rsid w:val="007C7667"/>
    <w:rsid w:val="007D52A9"/>
    <w:rsid w:val="007D67D1"/>
    <w:rsid w:val="007E3CAE"/>
    <w:rsid w:val="007F2CB3"/>
    <w:rsid w:val="007F55C8"/>
    <w:rsid w:val="00810310"/>
    <w:rsid w:val="00825808"/>
    <w:rsid w:val="00831BE7"/>
    <w:rsid w:val="00834CDC"/>
    <w:rsid w:val="00846BBD"/>
    <w:rsid w:val="00881A01"/>
    <w:rsid w:val="00887605"/>
    <w:rsid w:val="008B51B1"/>
    <w:rsid w:val="008C138D"/>
    <w:rsid w:val="008C7CC3"/>
    <w:rsid w:val="009144AD"/>
    <w:rsid w:val="00921E4D"/>
    <w:rsid w:val="00924B31"/>
    <w:rsid w:val="0093765B"/>
    <w:rsid w:val="00941ED8"/>
    <w:rsid w:val="00953620"/>
    <w:rsid w:val="00954571"/>
    <w:rsid w:val="009637CD"/>
    <w:rsid w:val="00970933"/>
    <w:rsid w:val="00973FE7"/>
    <w:rsid w:val="0097516C"/>
    <w:rsid w:val="009A0FE4"/>
    <w:rsid w:val="009A7064"/>
    <w:rsid w:val="009B2A1F"/>
    <w:rsid w:val="009B7DB1"/>
    <w:rsid w:val="009C0438"/>
    <w:rsid w:val="009C4F3E"/>
    <w:rsid w:val="009D5834"/>
    <w:rsid w:val="009E00C0"/>
    <w:rsid w:val="009E3A17"/>
    <w:rsid w:val="009F2BFA"/>
    <w:rsid w:val="00A01CC4"/>
    <w:rsid w:val="00A0236B"/>
    <w:rsid w:val="00A25ED5"/>
    <w:rsid w:val="00A46239"/>
    <w:rsid w:val="00A55C99"/>
    <w:rsid w:val="00A81CC2"/>
    <w:rsid w:val="00A820E4"/>
    <w:rsid w:val="00AB14E5"/>
    <w:rsid w:val="00AB3588"/>
    <w:rsid w:val="00AB4952"/>
    <w:rsid w:val="00AE33FF"/>
    <w:rsid w:val="00AF3ED0"/>
    <w:rsid w:val="00AF5284"/>
    <w:rsid w:val="00B20664"/>
    <w:rsid w:val="00B21962"/>
    <w:rsid w:val="00B5630A"/>
    <w:rsid w:val="00B61DFD"/>
    <w:rsid w:val="00B71A5D"/>
    <w:rsid w:val="00B72B16"/>
    <w:rsid w:val="00B94DA5"/>
    <w:rsid w:val="00BA65E1"/>
    <w:rsid w:val="00BC5D97"/>
    <w:rsid w:val="00BD60F8"/>
    <w:rsid w:val="00BF0280"/>
    <w:rsid w:val="00BF0BCD"/>
    <w:rsid w:val="00BF4E9F"/>
    <w:rsid w:val="00C02B71"/>
    <w:rsid w:val="00C06962"/>
    <w:rsid w:val="00C16FFA"/>
    <w:rsid w:val="00C214C9"/>
    <w:rsid w:val="00C32DD5"/>
    <w:rsid w:val="00C61CDE"/>
    <w:rsid w:val="00C75EF1"/>
    <w:rsid w:val="00C81C56"/>
    <w:rsid w:val="00C849C0"/>
    <w:rsid w:val="00C9461A"/>
    <w:rsid w:val="00CA264A"/>
    <w:rsid w:val="00CA27A5"/>
    <w:rsid w:val="00CA5F1D"/>
    <w:rsid w:val="00CB6194"/>
    <w:rsid w:val="00CB7FAA"/>
    <w:rsid w:val="00CD0DB7"/>
    <w:rsid w:val="00CD259F"/>
    <w:rsid w:val="00CD6DDE"/>
    <w:rsid w:val="00CE26CD"/>
    <w:rsid w:val="00CF2DF5"/>
    <w:rsid w:val="00CF5977"/>
    <w:rsid w:val="00D041FA"/>
    <w:rsid w:val="00D13A5B"/>
    <w:rsid w:val="00D2261B"/>
    <w:rsid w:val="00D2690C"/>
    <w:rsid w:val="00D31F96"/>
    <w:rsid w:val="00D410DC"/>
    <w:rsid w:val="00D4761C"/>
    <w:rsid w:val="00D47BF8"/>
    <w:rsid w:val="00D577BF"/>
    <w:rsid w:val="00D95786"/>
    <w:rsid w:val="00D95F54"/>
    <w:rsid w:val="00DA10DB"/>
    <w:rsid w:val="00DA5700"/>
    <w:rsid w:val="00DA5CC0"/>
    <w:rsid w:val="00DB06EB"/>
    <w:rsid w:val="00DB722A"/>
    <w:rsid w:val="00DC18E5"/>
    <w:rsid w:val="00DE03A4"/>
    <w:rsid w:val="00DE6294"/>
    <w:rsid w:val="00E30106"/>
    <w:rsid w:val="00E541B7"/>
    <w:rsid w:val="00E54B73"/>
    <w:rsid w:val="00E56CA2"/>
    <w:rsid w:val="00E6193E"/>
    <w:rsid w:val="00E67EF6"/>
    <w:rsid w:val="00EA259F"/>
    <w:rsid w:val="00EA3A4A"/>
    <w:rsid w:val="00EA74DF"/>
    <w:rsid w:val="00EC3F91"/>
    <w:rsid w:val="00ED3EA9"/>
    <w:rsid w:val="00F15264"/>
    <w:rsid w:val="00F349D6"/>
    <w:rsid w:val="00F46846"/>
    <w:rsid w:val="00F50080"/>
    <w:rsid w:val="00F55FBB"/>
    <w:rsid w:val="00F61384"/>
    <w:rsid w:val="00F627D0"/>
    <w:rsid w:val="00F66DC5"/>
    <w:rsid w:val="00F847CE"/>
    <w:rsid w:val="00F96F7C"/>
    <w:rsid w:val="00FC1F3A"/>
    <w:rsid w:val="00FC22C4"/>
    <w:rsid w:val="00FD627B"/>
    <w:rsid w:val="00FD6CB8"/>
    <w:rsid w:val="00FF480F"/>
    <w:rsid w:val="167F16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qFormat="1" w:unhideWhenUsed="0"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s-ES" w:eastAsia="es-E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rFonts w:ascii="Tahoma" w:hAnsi="Tahoma" w:cs="Tahoma"/>
      <w:sz w:val="16"/>
      <w:szCs w:val="16"/>
    </w:rPr>
  </w:style>
  <w:style w:type="paragraph" w:styleId="3">
    <w:name w:val="footer"/>
    <w:basedOn w:val="1"/>
    <w:uiPriority w:val="0"/>
    <w:pPr>
      <w:tabs>
        <w:tab w:val="center" w:pos="4252"/>
        <w:tab w:val="right" w:pos="8504"/>
      </w:tabs>
    </w:pPr>
  </w:style>
  <w:style w:type="paragraph" w:styleId="4">
    <w:name w:val="header"/>
    <w:basedOn w:val="1"/>
    <w:uiPriority w:val="0"/>
    <w:pPr>
      <w:tabs>
        <w:tab w:val="center" w:pos="4252"/>
        <w:tab w:val="right" w:pos="8504"/>
      </w:tabs>
    </w:pPr>
  </w:style>
  <w:style w:type="character" w:styleId="7">
    <w:name w:val="endnote reference"/>
    <w:semiHidden/>
    <w:qFormat/>
    <w:uiPriority w:val="0"/>
    <w:rPr>
      <w:vertAlign w:val="superscript"/>
    </w:rPr>
  </w:style>
  <w:style w:type="character" w:styleId="8">
    <w:name w:val="page number"/>
    <w:basedOn w:val="6"/>
    <w:uiPriority w:val="0"/>
  </w:style>
  <w:style w:type="character" w:styleId="9">
    <w:name w:val="FollowedHyperlink"/>
    <w:uiPriority w:val="0"/>
    <w:rPr>
      <w:color w:val="800080"/>
      <w:u w:val="single"/>
    </w:rPr>
  </w:style>
  <w:style w:type="character" w:styleId="10">
    <w:name w:val="Hyperlink"/>
    <w:uiPriority w:val="0"/>
    <w:rPr>
      <w:color w:val="0000FF"/>
      <w:u w:val="single"/>
    </w:rPr>
  </w:style>
  <w:style w:type="paragraph" w:customStyle="1" w:styleId="11">
    <w:name w:val="Ref Title WCCM"/>
    <w:basedOn w:val="12"/>
    <w:uiPriority w:val="0"/>
    <w:pPr/>
  </w:style>
  <w:style w:type="paragraph" w:customStyle="1" w:styleId="12">
    <w:name w:val="1st Title WCCM"/>
    <w:basedOn w:val="13"/>
    <w:uiPriority w:val="0"/>
    <w:pPr>
      <w:keepNext/>
      <w:keepLines/>
      <w:tabs>
        <w:tab w:val="left" w:pos="360"/>
      </w:tabs>
      <w:spacing w:before="240" w:after="120"/>
      <w:ind w:firstLine="0"/>
      <w:jc w:val="left"/>
    </w:pPr>
    <w:rPr>
      <w:b/>
      <w:bCs/>
      <w:caps/>
    </w:rPr>
  </w:style>
  <w:style w:type="paragraph" w:customStyle="1" w:styleId="13">
    <w:name w:val="Normal WCCM"/>
    <w:uiPriority w:val="0"/>
    <w:pPr>
      <w:widowControl w:val="0"/>
      <w:autoSpaceDE w:val="0"/>
      <w:autoSpaceDN w:val="0"/>
      <w:ind w:firstLine="284"/>
      <w:jc w:val="both"/>
    </w:pPr>
    <w:rPr>
      <w:rFonts w:ascii="Times New Roman" w:hAnsi="Times New Roman" w:cs="Times New Roman" w:eastAsiaTheme="minorEastAsia"/>
      <w:szCs w:val="24"/>
      <w:lang w:val="en-US" w:eastAsia="es-ES" w:bidi="ar-SA"/>
    </w:rPr>
  </w:style>
  <w:style w:type="paragraph" w:customStyle="1" w:styleId="14">
    <w:name w:val="2nd Title WCCM"/>
    <w:basedOn w:val="13"/>
    <w:uiPriority w:val="0"/>
    <w:pPr>
      <w:keepNext/>
      <w:keepLines/>
      <w:tabs>
        <w:tab w:val="left" w:pos="426"/>
        <w:tab w:val="left" w:pos="720"/>
      </w:tabs>
      <w:spacing w:before="240" w:after="120"/>
      <w:ind w:firstLine="0"/>
      <w:jc w:val="left"/>
    </w:pPr>
    <w:rPr>
      <w:b/>
      <w:bCs/>
    </w:rPr>
  </w:style>
  <w:style w:type="paragraph" w:customStyle="1" w:styleId="15">
    <w:name w:val="Paper Title WCCM"/>
    <w:basedOn w:val="13"/>
    <w:uiPriority w:val="0"/>
    <w:pPr>
      <w:spacing w:after="240"/>
      <w:ind w:firstLine="0"/>
    </w:pPr>
    <w:rPr>
      <w:b/>
      <w:bCs/>
      <w:caps/>
      <w:sz w:val="28"/>
      <w:szCs w:val="28"/>
    </w:rPr>
  </w:style>
  <w:style w:type="paragraph" w:customStyle="1" w:styleId="16">
    <w:name w:val="Lite WCCM"/>
    <w:basedOn w:val="13"/>
    <w:uiPriority w:val="0"/>
    <w:pPr>
      <w:tabs>
        <w:tab w:val="left" w:pos="142"/>
      </w:tabs>
      <w:ind w:firstLine="0"/>
      <w:jc w:val="center"/>
    </w:pPr>
    <w:rPr>
      <w:sz w:val="22"/>
      <w:szCs w:val="22"/>
    </w:rPr>
  </w:style>
  <w:style w:type="paragraph" w:customStyle="1" w:styleId="17">
    <w:name w:val="Abstract WCCM"/>
    <w:basedOn w:val="13"/>
    <w:uiPriority w:val="0"/>
    <w:pPr>
      <w:ind w:left="708" w:firstLine="0"/>
    </w:pPr>
  </w:style>
  <w:style w:type="paragraph" w:customStyle="1" w:styleId="18">
    <w:name w:val="Header 1 WCCM"/>
    <w:uiPriority w:val="0"/>
    <w:pPr>
      <w:widowControl w:val="0"/>
      <w:autoSpaceDE w:val="0"/>
      <w:autoSpaceDN w:val="0"/>
      <w:jc w:val="right"/>
    </w:pPr>
    <w:rPr>
      <w:rFonts w:ascii="Times New Roman" w:hAnsi="Times New Roman" w:cs="Times New Roman" w:eastAsiaTheme="minorEastAsia"/>
      <w:sz w:val="16"/>
      <w:szCs w:val="16"/>
      <w:lang w:val="en-US" w:eastAsia="es-ES" w:bidi="ar-SA"/>
    </w:rPr>
  </w:style>
  <w:style w:type="paragraph" w:customStyle="1" w:styleId="19">
    <w:name w:val="Header 2 WCCM"/>
    <w:basedOn w:val="18"/>
    <w:uiPriority w:val="0"/>
    <w:pPr>
      <w:pBdr>
        <w:bottom w:val="single" w:color="auto" w:sz="6" w:space="1"/>
      </w:pBdr>
      <w:ind w:right="-1"/>
      <w:jc w:val="center"/>
    </w:pPr>
    <w:rPr>
      <w:sz w:val="20"/>
      <w:szCs w:val="20"/>
    </w:rPr>
  </w:style>
  <w:style w:type="paragraph" w:customStyle="1" w:styleId="20">
    <w:name w:val="Pg Number WCCM"/>
    <w:basedOn w:val="13"/>
    <w:uiPriority w:val="0"/>
    <w:pPr>
      <w:jc w:val="center"/>
    </w:pPr>
  </w:style>
  <w:style w:type="paragraph" w:customStyle="1" w:styleId="21">
    <w:name w:val="Reference WCCM"/>
    <w:basedOn w:val="13"/>
    <w:uiPriority w:val="0"/>
    <w:pPr>
      <w:tabs>
        <w:tab w:val="left" w:pos="426"/>
      </w:tabs>
      <w:ind w:left="426" w:hanging="426"/>
      <w:jc w:val="left"/>
    </w:pPr>
  </w:style>
  <w:style w:type="paragraph" w:customStyle="1" w:styleId="22">
    <w:name w:val="Figure WCCM"/>
    <w:uiPriority w:val="0"/>
    <w:pPr>
      <w:widowControl w:val="0"/>
      <w:autoSpaceDE w:val="0"/>
      <w:autoSpaceDN w:val="0"/>
      <w:spacing w:after="240"/>
      <w:jc w:val="center"/>
    </w:pPr>
    <w:rPr>
      <w:rFonts w:ascii="Times New Roman" w:hAnsi="Times New Roman" w:cs="Times New Roman" w:eastAsiaTheme="minorEastAsia"/>
      <w:lang w:val="en-US" w:eastAsia="es-ES" w:bidi="ar-SA"/>
    </w:rPr>
  </w:style>
  <w:style w:type="paragraph" w:customStyle="1" w:styleId="23">
    <w:name w:val="Filiación.COMNI"/>
    <w:basedOn w:val="1"/>
    <w:uiPriority w:val="0"/>
    <w:pPr>
      <w:widowControl w:val="0"/>
      <w:tabs>
        <w:tab w:val="left" w:pos="142"/>
      </w:tabs>
      <w:autoSpaceDE w:val="0"/>
      <w:autoSpaceDN w:val="0"/>
      <w:jc w:val="center"/>
    </w:pPr>
    <w:rPr>
      <w:strike/>
      <w:sz w:val="22"/>
      <w:szCs w:val="22"/>
      <w:lang/>
    </w:rPr>
  </w:style>
  <w:style w:type="paragraph" w:customStyle="1" w:styleId="24">
    <w:name w:val="Pie Fig. o Tabla. COMNI"/>
    <w:basedOn w:val="1"/>
    <w:uiPriority w:val="0"/>
    <w:pPr>
      <w:widowControl w:val="0"/>
      <w:autoSpaceDE w:val="0"/>
      <w:autoSpaceDN w:val="0"/>
      <w:spacing w:before="120" w:after="240"/>
      <w:ind w:firstLine="284"/>
      <w:jc w:val="center"/>
    </w:pPr>
    <w:rPr>
      <w:strike/>
      <w:sz w:val="20"/>
      <w:lang/>
    </w:rPr>
  </w:style>
  <w:style w:type="character" w:styleId="25">
    <w:name w:val="Placeholder Text"/>
    <w:basedOn w:val="6"/>
    <w:semiHidden/>
    <w:uiPriority w:val="99"/>
    <w:rPr>
      <w:color w:val="808080"/>
    </w:rPr>
  </w:style>
  <w:style w:type="paragraph" w:customStyle="1" w:styleId="26">
    <w:name w:val="Reference"/>
    <w:uiPriority w:val="0"/>
    <w:pPr>
      <w:widowControl w:val="0"/>
      <w:numPr>
        <w:ilvl w:val="0"/>
        <w:numId w:val="1"/>
      </w:numPr>
      <w:tabs>
        <w:tab w:val="left" w:pos="567"/>
      </w:tabs>
      <w:jc w:val="both"/>
    </w:pPr>
    <w:rPr>
      <w:rFonts w:ascii="Times" w:hAnsi="Times" w:cs="Times New Roman" w:eastAsiaTheme="minorEastAsia"/>
      <w:iCs/>
      <w:color w:val="000000"/>
      <w:sz w:val="22"/>
      <w:szCs w:val="22"/>
      <w:lang w:val="en-GB" w:eastAsia="en-US" w:bidi="ar-SA"/>
    </w:rPr>
  </w:style>
  <w:style w:type="character" w:customStyle="1" w:styleId="27">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CIMNE</Company>
  <Pages>5</Pages>
  <Words>1675</Words>
  <Characters>8968</Characters>
  <Lines>77</Lines>
  <Paragraphs>21</Paragraphs>
  <TotalTime>29</TotalTime>
  <ScaleCrop>false</ScaleCrop>
  <LinksUpToDate>false</LinksUpToDate>
  <CharactersWithSpaces>10535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2022-06-27T08:41:00Z</dcterms:created>
  <dc:creator>forace</dc:creator>
  <cp:lastModifiedBy>Administrator</cp:lastModifiedBy>
  <cp:lastPrinted>2010-03-18T11:22:00Z</cp:lastPrinted>
  <dcterms:modified xsi:type="dcterms:W3CDTF">2023-03-27T06:43:48Z</dcterms:modified>
  <dc:title>INSTRUCTIONS TO PREPARE A PAPER FOR THE EUROPEAN CONGRESS ON COMPUTATIONAL METHODS IN APPLIED SCIENCES AND ENGINEERING</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06C2FA3170E64D45AD0FD988D428566C</vt:lpwstr>
  </property>
</Properties>
</file>